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BD" w:rsidRPr="00194EF1" w:rsidRDefault="00FE50BD" w:rsidP="003C4A34">
      <w:pPr>
        <w:jc w:val="both"/>
        <w:rPr>
          <w:b/>
        </w:rPr>
      </w:pPr>
      <w:r w:rsidRPr="00194EF1">
        <w:rPr>
          <w:b/>
        </w:rPr>
        <w:t xml:space="preserve">Factors behind </w:t>
      </w:r>
      <w:proofErr w:type="spellStart"/>
      <w:r w:rsidRPr="00194EF1">
        <w:rPr>
          <w:b/>
        </w:rPr>
        <w:t>sociopragmatic</w:t>
      </w:r>
      <w:proofErr w:type="spellEnd"/>
      <w:r w:rsidRPr="00194EF1">
        <w:rPr>
          <w:b/>
        </w:rPr>
        <w:t xml:space="preserve"> change in 19</w:t>
      </w:r>
      <w:r w:rsidRPr="00194EF1">
        <w:rPr>
          <w:b/>
          <w:vertAlign w:val="superscript"/>
        </w:rPr>
        <w:t>th</w:t>
      </w:r>
      <w:r w:rsidRPr="00194EF1">
        <w:rPr>
          <w:b/>
        </w:rPr>
        <w:t>-century British newspaper advertisements</w:t>
      </w:r>
    </w:p>
    <w:p w:rsidR="00FE50BD" w:rsidRPr="00194EF1" w:rsidRDefault="00FE50BD" w:rsidP="003C4A34">
      <w:pPr>
        <w:jc w:val="both"/>
      </w:pPr>
    </w:p>
    <w:p w:rsidR="00FE50BD" w:rsidRPr="00194EF1" w:rsidRDefault="00FE50BD" w:rsidP="003C4A34">
      <w:pPr>
        <w:jc w:val="both"/>
      </w:pPr>
      <w:r w:rsidRPr="00194EF1">
        <w:t xml:space="preserve">Minna </w:t>
      </w:r>
      <w:proofErr w:type="spellStart"/>
      <w:r w:rsidRPr="00194EF1">
        <w:t>Palander</w:t>
      </w:r>
      <w:proofErr w:type="spellEnd"/>
      <w:r w:rsidRPr="00194EF1">
        <w:t>-Collin</w:t>
      </w:r>
    </w:p>
    <w:p w:rsidR="00FE50BD" w:rsidRPr="00194EF1" w:rsidRDefault="00FE50BD" w:rsidP="003C4A34">
      <w:pPr>
        <w:jc w:val="both"/>
      </w:pPr>
      <w:r w:rsidRPr="00194EF1">
        <w:t>University of Helsinki</w:t>
      </w:r>
    </w:p>
    <w:p w:rsidR="00555D6D" w:rsidRPr="00194EF1" w:rsidRDefault="00492254" w:rsidP="00555D6D">
      <w:pPr>
        <w:pStyle w:val="Footer"/>
      </w:pPr>
      <w:hyperlink r:id="rId8" w:history="1">
        <w:r w:rsidR="00555D6D" w:rsidRPr="00194EF1">
          <w:rPr>
            <w:rStyle w:val="Hyperlink"/>
          </w:rPr>
          <w:t>minna.palander-collin@helsinki.fi</w:t>
        </w:r>
      </w:hyperlink>
    </w:p>
    <w:p w:rsidR="00555D6D" w:rsidRPr="00194EF1" w:rsidRDefault="00555D6D" w:rsidP="003C4A34">
      <w:pPr>
        <w:jc w:val="both"/>
      </w:pPr>
    </w:p>
    <w:p w:rsidR="0091706C" w:rsidRPr="00194EF1" w:rsidRDefault="0091706C" w:rsidP="0091706C">
      <w:pPr>
        <w:pStyle w:val="ListParagraph"/>
        <w:numPr>
          <w:ilvl w:val="0"/>
          <w:numId w:val="2"/>
        </w:numPr>
        <w:jc w:val="both"/>
        <w:rPr>
          <w:b/>
        </w:rPr>
      </w:pPr>
      <w:r w:rsidRPr="00194EF1">
        <w:rPr>
          <w:b/>
        </w:rPr>
        <w:t>Examples</w:t>
      </w:r>
    </w:p>
    <w:p w:rsidR="0091706C" w:rsidRPr="00194EF1" w:rsidRDefault="0091706C" w:rsidP="003C4A34">
      <w:pPr>
        <w:jc w:val="both"/>
      </w:pPr>
      <w:r w:rsidRPr="00194EF1">
        <w:t>(1)</w:t>
      </w:r>
      <w:r w:rsidRPr="00194EF1">
        <w:rPr>
          <w:i/>
        </w:rPr>
        <w:t>The Times</w:t>
      </w:r>
      <w:r w:rsidRPr="00194EF1">
        <w:t xml:space="preserve"> August 1805</w:t>
      </w:r>
    </w:p>
    <w:p w:rsidR="006F3CC9" w:rsidRPr="00194EF1" w:rsidRDefault="0091706C" w:rsidP="003C4A34">
      <w:pPr>
        <w:jc w:val="both"/>
      </w:pPr>
      <w:r w:rsidRPr="00194EF1">
        <w:rPr>
          <w:lang w:val="fi-FI"/>
        </w:rPr>
        <w:drawing>
          <wp:inline distT="0" distB="0" distL="0" distR="0" wp14:anchorId="1319B966" wp14:editId="225ADEF9">
            <wp:extent cx="4819650" cy="1954764"/>
            <wp:effectExtent l="0" t="0" r="0" b="762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56" cy="19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706C" w:rsidRPr="00194EF1" w:rsidRDefault="0091706C" w:rsidP="003C4A34">
      <w:pPr>
        <w:jc w:val="both"/>
      </w:pPr>
    </w:p>
    <w:p w:rsidR="0091706C" w:rsidRPr="00194EF1" w:rsidRDefault="0091706C" w:rsidP="003C4A34">
      <w:pPr>
        <w:jc w:val="both"/>
      </w:pPr>
      <w:r w:rsidRPr="00194EF1">
        <w:t xml:space="preserve">(2) </w:t>
      </w:r>
      <w:r w:rsidRPr="00194EF1">
        <w:rPr>
          <w:i/>
        </w:rPr>
        <w:t>The Times</w:t>
      </w:r>
      <w:r w:rsidRPr="00194EF1">
        <w:t xml:space="preserve"> January 1880</w:t>
      </w:r>
    </w:p>
    <w:p w:rsidR="005E4B0E" w:rsidRPr="00194EF1" w:rsidRDefault="0091706C" w:rsidP="003C4A34">
      <w:r w:rsidRPr="00194EF1">
        <w:rPr>
          <w:lang w:val="fi-FI"/>
        </w:rPr>
        <w:drawing>
          <wp:inline distT="0" distB="0" distL="0" distR="0" wp14:anchorId="044F5713" wp14:editId="1D1B0565">
            <wp:extent cx="4762500" cy="776785"/>
            <wp:effectExtent l="0" t="0" r="0" b="444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20" cy="78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1706C" w:rsidRPr="00194EF1" w:rsidRDefault="0091706C" w:rsidP="0091706C"/>
    <w:p w:rsidR="00A03E25" w:rsidRPr="00492254" w:rsidRDefault="00A03E25" w:rsidP="0091706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2254">
        <w:rPr>
          <w:sz w:val="28"/>
          <w:szCs w:val="28"/>
        </w:rPr>
        <w:t>COVENTRY-CROSS, No. 149, NEW BOND-STREET.</w:t>
      </w:r>
    </w:p>
    <w:p w:rsidR="00856F2B" w:rsidRPr="00492254" w:rsidRDefault="00A03E25" w:rsidP="003C4A34">
      <w:pPr>
        <w:rPr>
          <w:sz w:val="28"/>
          <w:szCs w:val="28"/>
        </w:rPr>
      </w:pPr>
      <w:r w:rsidRPr="00492254">
        <w:rPr>
          <w:sz w:val="28"/>
          <w:szCs w:val="28"/>
        </w:rPr>
        <w:t xml:space="preserve">JAMES HOOPER, Mercer, begs leave to acquaint his Friends and the Public, that (Mr. </w:t>
      </w:r>
      <w:proofErr w:type="spellStart"/>
      <w:r w:rsidRPr="00492254">
        <w:rPr>
          <w:sz w:val="28"/>
          <w:szCs w:val="28"/>
        </w:rPr>
        <w:t>Atwich</w:t>
      </w:r>
      <w:proofErr w:type="spellEnd"/>
      <w:r w:rsidRPr="00492254">
        <w:rPr>
          <w:sz w:val="28"/>
          <w:szCs w:val="28"/>
        </w:rPr>
        <w:t xml:space="preserve"> having quitted business) he is removed from his late shop, to the Coventry-Cross, No. 149, New Bond-street, where he hopes for the continuance of their </w:t>
      </w:r>
      <w:proofErr w:type="spellStart"/>
      <w:r w:rsidRPr="00492254">
        <w:rPr>
          <w:sz w:val="28"/>
          <w:szCs w:val="28"/>
        </w:rPr>
        <w:t>favours</w:t>
      </w:r>
      <w:proofErr w:type="spellEnd"/>
      <w:r w:rsidRPr="00492254">
        <w:rPr>
          <w:sz w:val="28"/>
          <w:szCs w:val="28"/>
        </w:rPr>
        <w:t xml:space="preserve">, having provided a large assortment of the most fashionable Silks and </w:t>
      </w:r>
      <w:proofErr w:type="spellStart"/>
      <w:r w:rsidRPr="00492254">
        <w:rPr>
          <w:sz w:val="28"/>
          <w:szCs w:val="28"/>
        </w:rPr>
        <w:t>Sattins</w:t>
      </w:r>
      <w:proofErr w:type="spellEnd"/>
      <w:r w:rsidRPr="00492254">
        <w:rPr>
          <w:sz w:val="28"/>
          <w:szCs w:val="28"/>
        </w:rPr>
        <w:t xml:space="preserve">, of the newest </w:t>
      </w:r>
      <w:proofErr w:type="spellStart"/>
      <w:r w:rsidRPr="00492254">
        <w:rPr>
          <w:sz w:val="28"/>
          <w:szCs w:val="28"/>
        </w:rPr>
        <w:t>colours</w:t>
      </w:r>
      <w:proofErr w:type="spellEnd"/>
      <w:r w:rsidRPr="00492254">
        <w:rPr>
          <w:sz w:val="28"/>
          <w:szCs w:val="28"/>
        </w:rPr>
        <w:t>; with great variety of Irish and other Stuffs, which he is determined to sell on the most reasonable terms. (</w:t>
      </w:r>
      <w:r w:rsidRPr="00492254">
        <w:rPr>
          <w:i/>
          <w:sz w:val="28"/>
          <w:szCs w:val="28"/>
        </w:rPr>
        <w:t>Morning Post</w:t>
      </w:r>
      <w:r w:rsidRPr="00492254">
        <w:rPr>
          <w:sz w:val="28"/>
          <w:szCs w:val="28"/>
        </w:rPr>
        <w:t xml:space="preserve"> 22 January 1785)</w:t>
      </w:r>
    </w:p>
    <w:p w:rsidR="00856F2B" w:rsidRPr="00492254" w:rsidRDefault="00856F2B" w:rsidP="003C4A34">
      <w:pPr>
        <w:rPr>
          <w:sz w:val="28"/>
          <w:szCs w:val="28"/>
        </w:rPr>
      </w:pPr>
    </w:p>
    <w:p w:rsidR="00856F2B" w:rsidRPr="00492254" w:rsidRDefault="00A03E25" w:rsidP="0091706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2254">
        <w:rPr>
          <w:sz w:val="28"/>
          <w:szCs w:val="28"/>
        </w:rPr>
        <w:t>NOTICE. — CHRISTMAS PRESENTS.</w:t>
      </w:r>
    </w:p>
    <w:p w:rsidR="00A03E25" w:rsidRPr="00492254" w:rsidRDefault="00A03E25" w:rsidP="003C4A34">
      <w:pPr>
        <w:rPr>
          <w:sz w:val="28"/>
          <w:szCs w:val="28"/>
        </w:rPr>
      </w:pPr>
      <w:r w:rsidRPr="00492254">
        <w:rPr>
          <w:sz w:val="28"/>
          <w:szCs w:val="28"/>
        </w:rPr>
        <w:t>J. DEFRIES and SONS’</w:t>
      </w:r>
    </w:p>
    <w:p w:rsidR="00A03E25" w:rsidRPr="00492254" w:rsidRDefault="00A03E25" w:rsidP="003C4A34">
      <w:pPr>
        <w:rPr>
          <w:sz w:val="28"/>
          <w:szCs w:val="28"/>
        </w:rPr>
      </w:pPr>
      <w:r w:rsidRPr="00492254">
        <w:rPr>
          <w:sz w:val="28"/>
          <w:szCs w:val="28"/>
        </w:rPr>
        <w:t xml:space="preserve">CRYSTAL CHANDELIERS, TABLE GLASS, LAMPS, Duplex and other, DINNER SERVICES from £2 </w:t>
      </w:r>
      <w:proofErr w:type="gramStart"/>
      <w:r w:rsidRPr="00492254">
        <w:rPr>
          <w:sz w:val="28"/>
          <w:szCs w:val="28"/>
        </w:rPr>
        <w:t>10s.,</w:t>
      </w:r>
      <w:proofErr w:type="gramEnd"/>
      <w:r w:rsidRPr="00492254">
        <w:rPr>
          <w:sz w:val="28"/>
          <w:szCs w:val="28"/>
        </w:rPr>
        <w:t xml:space="preserve"> FOUNTAINS, CLOCKS, TABLE DECORATIONS, Prize Medal CARBON BLOCK FILTERS.</w:t>
      </w:r>
    </w:p>
    <w:p w:rsidR="00856F2B" w:rsidRPr="00492254" w:rsidRDefault="00A03E25" w:rsidP="00856F2B">
      <w:pPr>
        <w:rPr>
          <w:sz w:val="28"/>
          <w:szCs w:val="28"/>
        </w:rPr>
      </w:pPr>
      <w:r w:rsidRPr="00492254">
        <w:rPr>
          <w:sz w:val="28"/>
          <w:szCs w:val="28"/>
        </w:rPr>
        <w:t>147, HOUNDSDITCH, five minutes’ walk from the Bank of England and the City Railway Stations. (</w:t>
      </w:r>
      <w:r w:rsidRPr="00492254">
        <w:rPr>
          <w:i/>
          <w:sz w:val="28"/>
          <w:szCs w:val="28"/>
        </w:rPr>
        <w:t>Morning Post</w:t>
      </w:r>
      <w:r w:rsidRPr="00492254">
        <w:rPr>
          <w:sz w:val="28"/>
          <w:szCs w:val="28"/>
        </w:rPr>
        <w:t xml:space="preserve"> 22 December 1880)</w:t>
      </w:r>
    </w:p>
    <w:p w:rsidR="00856F2B" w:rsidRPr="00492254" w:rsidRDefault="00856F2B" w:rsidP="00856F2B">
      <w:pPr>
        <w:rPr>
          <w:sz w:val="28"/>
          <w:szCs w:val="28"/>
        </w:rPr>
      </w:pPr>
    </w:p>
    <w:p w:rsidR="00856F2B" w:rsidRPr="00492254" w:rsidRDefault="00856F2B" w:rsidP="0091706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92254">
        <w:rPr>
          <w:sz w:val="28"/>
          <w:szCs w:val="28"/>
          <w:lang w:val="en-GB"/>
        </w:rPr>
        <w:t>[…] Johnson and Co. beg leave to inform the Public, that they have lately</w:t>
      </w:r>
    </w:p>
    <w:p w:rsidR="00856F2B" w:rsidRPr="00492254" w:rsidRDefault="00856F2B" w:rsidP="00856F2B">
      <w:pPr>
        <w:jc w:val="both"/>
        <w:rPr>
          <w:sz w:val="28"/>
          <w:szCs w:val="28"/>
          <w:lang w:val="en-GB"/>
        </w:rPr>
      </w:pPr>
      <w:proofErr w:type="gramStart"/>
      <w:r w:rsidRPr="00492254">
        <w:rPr>
          <w:sz w:val="28"/>
          <w:szCs w:val="28"/>
          <w:lang w:val="en-GB"/>
        </w:rPr>
        <w:t>manufactured</w:t>
      </w:r>
      <w:proofErr w:type="gramEnd"/>
      <w:r w:rsidRPr="00492254">
        <w:rPr>
          <w:sz w:val="28"/>
          <w:szCs w:val="28"/>
          <w:lang w:val="en-GB"/>
        </w:rPr>
        <w:t xml:space="preserve"> a large quantity of Flannel, composed entirely of the Lana de la</w:t>
      </w:r>
    </w:p>
    <w:p w:rsidR="00856F2B" w:rsidRPr="00492254" w:rsidRDefault="00856F2B" w:rsidP="00856F2B">
      <w:pPr>
        <w:jc w:val="both"/>
        <w:rPr>
          <w:sz w:val="28"/>
          <w:szCs w:val="28"/>
          <w:lang w:val="en-GB"/>
        </w:rPr>
      </w:pPr>
      <w:proofErr w:type="spellStart"/>
      <w:r w:rsidRPr="00492254">
        <w:rPr>
          <w:sz w:val="28"/>
          <w:szCs w:val="28"/>
          <w:lang w:val="en-GB"/>
        </w:rPr>
        <w:t>Oveja</w:t>
      </w:r>
      <w:proofErr w:type="spellEnd"/>
      <w:r w:rsidRPr="00492254">
        <w:rPr>
          <w:sz w:val="28"/>
          <w:szCs w:val="28"/>
          <w:lang w:val="en-GB"/>
        </w:rPr>
        <w:t xml:space="preserve"> Merina, or pure Spanish Merino Wool, which they have made up into</w:t>
      </w:r>
    </w:p>
    <w:p w:rsidR="00856F2B" w:rsidRPr="00492254" w:rsidRDefault="00856F2B" w:rsidP="00856F2B">
      <w:pPr>
        <w:jc w:val="both"/>
        <w:rPr>
          <w:sz w:val="28"/>
          <w:szCs w:val="28"/>
          <w:lang w:val="en-GB"/>
        </w:rPr>
      </w:pPr>
      <w:r w:rsidRPr="00492254">
        <w:rPr>
          <w:sz w:val="28"/>
          <w:szCs w:val="28"/>
          <w:lang w:val="en-GB"/>
        </w:rPr>
        <w:t>Shirts and Drawers, some thousands of which are now ready for Sale at very</w:t>
      </w:r>
    </w:p>
    <w:p w:rsidR="006F3CC9" w:rsidRPr="00492254" w:rsidRDefault="00856F2B" w:rsidP="006F3CC9">
      <w:pPr>
        <w:jc w:val="both"/>
        <w:rPr>
          <w:sz w:val="28"/>
          <w:szCs w:val="28"/>
          <w:lang w:val="en-GB"/>
        </w:rPr>
      </w:pPr>
      <w:proofErr w:type="gramStart"/>
      <w:r w:rsidRPr="00492254">
        <w:rPr>
          <w:sz w:val="28"/>
          <w:szCs w:val="28"/>
          <w:lang w:val="en-GB"/>
        </w:rPr>
        <w:lastRenderedPageBreak/>
        <w:t>moderate</w:t>
      </w:r>
      <w:proofErr w:type="gramEnd"/>
      <w:r w:rsidRPr="00492254">
        <w:rPr>
          <w:sz w:val="28"/>
          <w:szCs w:val="28"/>
          <w:lang w:val="en-GB"/>
        </w:rPr>
        <w:t xml:space="preserve"> prices, at their Warehouse, […] (</w:t>
      </w:r>
      <w:r w:rsidRPr="00492254">
        <w:rPr>
          <w:i/>
          <w:sz w:val="28"/>
          <w:szCs w:val="28"/>
          <w:lang w:val="en-GB"/>
        </w:rPr>
        <w:t>Times</w:t>
      </w:r>
      <w:r w:rsidRPr="00492254">
        <w:rPr>
          <w:sz w:val="28"/>
          <w:szCs w:val="28"/>
          <w:lang w:val="en-GB"/>
        </w:rPr>
        <w:t xml:space="preserve"> 31 August 1805)</w:t>
      </w:r>
    </w:p>
    <w:p w:rsidR="006F3CC9" w:rsidRPr="00492254" w:rsidRDefault="006F3CC9" w:rsidP="006F3CC9">
      <w:pPr>
        <w:jc w:val="both"/>
        <w:rPr>
          <w:sz w:val="28"/>
          <w:szCs w:val="28"/>
          <w:lang w:val="en-GB"/>
        </w:rPr>
      </w:pPr>
    </w:p>
    <w:p w:rsidR="006F3CC9" w:rsidRPr="00492254" w:rsidRDefault="006F3CC9" w:rsidP="0091706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n-GB"/>
        </w:rPr>
      </w:pPr>
      <w:r w:rsidRPr="00492254">
        <w:rPr>
          <w:rFonts w:eastAsiaTheme="minorHAnsi"/>
          <w:sz w:val="28"/>
          <w:szCs w:val="28"/>
          <w:lang w:val="fi-FI"/>
        </w:rPr>
        <w:t>GRANT’S MORELLA CHERRY BRANDY</w:t>
      </w:r>
    </w:p>
    <w:p w:rsidR="00856F2B" w:rsidRPr="00492254" w:rsidRDefault="006F3CC9" w:rsidP="006F3CC9">
      <w:pPr>
        <w:jc w:val="both"/>
        <w:rPr>
          <w:rFonts w:eastAsiaTheme="minorHAnsi"/>
          <w:sz w:val="28"/>
          <w:szCs w:val="28"/>
        </w:rPr>
      </w:pPr>
      <w:r w:rsidRPr="00492254">
        <w:rPr>
          <w:rFonts w:eastAsiaTheme="minorHAnsi"/>
          <w:sz w:val="28"/>
          <w:szCs w:val="28"/>
        </w:rPr>
        <w:t>Have you ever tasted it? (</w:t>
      </w:r>
      <w:r w:rsidRPr="00492254">
        <w:rPr>
          <w:rFonts w:eastAsia="MinionPro-It"/>
          <w:i/>
          <w:iCs/>
          <w:sz w:val="28"/>
          <w:szCs w:val="28"/>
        </w:rPr>
        <w:t>Morning Post</w:t>
      </w:r>
      <w:r w:rsidRPr="00492254">
        <w:rPr>
          <w:rFonts w:eastAsiaTheme="minorHAnsi"/>
          <w:sz w:val="28"/>
          <w:szCs w:val="28"/>
        </w:rPr>
        <w:t>, 22 December 1880)</w:t>
      </w:r>
    </w:p>
    <w:p w:rsidR="006F3CC9" w:rsidRPr="00194EF1" w:rsidRDefault="006F3CC9" w:rsidP="006F3CC9">
      <w:pPr>
        <w:jc w:val="both"/>
        <w:rPr>
          <w:lang w:val="en-GB"/>
        </w:rPr>
      </w:pPr>
    </w:p>
    <w:p w:rsidR="00522B8E" w:rsidRPr="00492254" w:rsidRDefault="00496402" w:rsidP="006304C2">
      <w:pPr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492254">
        <w:rPr>
          <w:b/>
          <w:sz w:val="28"/>
          <w:szCs w:val="28"/>
        </w:rPr>
        <w:t xml:space="preserve">Patterns of </w:t>
      </w:r>
      <w:r w:rsidRPr="00492254">
        <w:rPr>
          <w:b/>
          <w:smallCaps/>
          <w:sz w:val="28"/>
          <w:szCs w:val="28"/>
        </w:rPr>
        <w:t>advertiser</w:t>
      </w:r>
      <w:r w:rsidRPr="00492254">
        <w:rPr>
          <w:b/>
          <w:sz w:val="28"/>
          <w:szCs w:val="28"/>
        </w:rPr>
        <w:t xml:space="preserve"> -</w:t>
      </w:r>
      <w:r w:rsidRPr="00492254">
        <w:rPr>
          <w:b/>
          <w:smallCaps/>
          <w:sz w:val="28"/>
          <w:szCs w:val="28"/>
        </w:rPr>
        <w:t xml:space="preserve"> audience</w:t>
      </w:r>
      <w:r w:rsidRPr="00492254">
        <w:rPr>
          <w:b/>
          <w:sz w:val="28"/>
          <w:szCs w:val="28"/>
        </w:rPr>
        <w:t xml:space="preserve"> interactional work</w:t>
      </w:r>
      <w:r w:rsidR="00522B8E" w:rsidRPr="00492254">
        <w:rPr>
          <w:b/>
          <w:sz w:val="28"/>
          <w:szCs w:val="28"/>
        </w:rPr>
        <w:t>:</w:t>
      </w:r>
    </w:p>
    <w:p w:rsidR="00522B8E" w:rsidRPr="00492254" w:rsidRDefault="00522B8E" w:rsidP="006304C2">
      <w:pPr>
        <w:shd w:val="clear" w:color="auto" w:fill="BFBFBF" w:themeFill="background1" w:themeFillShade="BF"/>
        <w:rPr>
          <w:i/>
          <w:iCs/>
          <w:sz w:val="28"/>
          <w:szCs w:val="28"/>
        </w:rPr>
      </w:pPr>
      <w:r w:rsidRPr="00492254">
        <w:rPr>
          <w:smallCaps/>
          <w:sz w:val="28"/>
          <w:szCs w:val="28"/>
        </w:rPr>
        <w:t>advertiser</w:t>
      </w:r>
      <w:r w:rsidRPr="00492254">
        <w:rPr>
          <w:sz w:val="28"/>
          <w:szCs w:val="28"/>
        </w:rPr>
        <w:t xml:space="preserve"> </w:t>
      </w:r>
      <w:r w:rsidRPr="00492254">
        <w:rPr>
          <w:i/>
          <w:iCs/>
          <w:sz w:val="28"/>
          <w:szCs w:val="28"/>
        </w:rPr>
        <w:t>most respectfully informs /</w:t>
      </w:r>
      <w:r w:rsidRPr="00492254">
        <w:rPr>
          <w:sz w:val="28"/>
          <w:szCs w:val="28"/>
        </w:rPr>
        <w:t xml:space="preserve"> </w:t>
      </w:r>
      <w:r w:rsidRPr="00492254">
        <w:rPr>
          <w:i/>
          <w:iCs/>
          <w:sz w:val="28"/>
          <w:szCs w:val="28"/>
        </w:rPr>
        <w:t xml:space="preserve">begs leave to inform </w:t>
      </w:r>
      <w:r w:rsidRPr="00492254">
        <w:rPr>
          <w:sz w:val="28"/>
          <w:szCs w:val="28"/>
        </w:rPr>
        <w:t xml:space="preserve">/ </w:t>
      </w:r>
      <w:r w:rsidRPr="00492254">
        <w:rPr>
          <w:i/>
          <w:iCs/>
          <w:sz w:val="28"/>
          <w:szCs w:val="28"/>
        </w:rPr>
        <w:t xml:space="preserve">acquaint </w:t>
      </w:r>
      <w:r w:rsidRPr="00492254">
        <w:rPr>
          <w:smallCaps/>
          <w:sz w:val="28"/>
          <w:szCs w:val="28"/>
        </w:rPr>
        <w:t>audience</w:t>
      </w:r>
      <w:r w:rsidR="00864ADC" w:rsidRPr="00492254">
        <w:rPr>
          <w:smallCaps/>
          <w:sz w:val="28"/>
          <w:szCs w:val="28"/>
        </w:rPr>
        <w:br/>
      </w:r>
      <w:r w:rsidRPr="00492254">
        <w:rPr>
          <w:smallCaps/>
          <w:sz w:val="28"/>
          <w:szCs w:val="28"/>
        </w:rPr>
        <w:t>advertiser</w:t>
      </w:r>
      <w:r w:rsidRPr="00492254">
        <w:rPr>
          <w:i/>
          <w:iCs/>
          <w:sz w:val="28"/>
          <w:szCs w:val="28"/>
        </w:rPr>
        <w:t xml:space="preserve"> being the first to reduce the price </w:t>
      </w:r>
      <w:r w:rsidRPr="00492254">
        <w:rPr>
          <w:sz w:val="28"/>
          <w:szCs w:val="28"/>
        </w:rPr>
        <w:t xml:space="preserve">/ </w:t>
      </w:r>
      <w:r w:rsidRPr="00492254">
        <w:rPr>
          <w:i/>
          <w:iCs/>
          <w:sz w:val="28"/>
          <w:szCs w:val="28"/>
        </w:rPr>
        <w:t>is determined to sell at most reasonable prices</w:t>
      </w:r>
      <w:r w:rsidR="006F3CC9" w:rsidRPr="00492254">
        <w:rPr>
          <w:i/>
          <w:iCs/>
          <w:sz w:val="28"/>
          <w:szCs w:val="28"/>
        </w:rPr>
        <w:br/>
      </w:r>
      <w:r w:rsidRPr="00492254">
        <w:rPr>
          <w:smallCaps/>
          <w:sz w:val="28"/>
          <w:szCs w:val="28"/>
        </w:rPr>
        <w:t>advertiser</w:t>
      </w:r>
      <w:r w:rsidRPr="00492254">
        <w:rPr>
          <w:i/>
          <w:iCs/>
          <w:sz w:val="28"/>
          <w:szCs w:val="28"/>
        </w:rPr>
        <w:t xml:space="preserve"> has now </w:t>
      </w:r>
      <w:r w:rsidRPr="00492254">
        <w:rPr>
          <w:sz w:val="28"/>
          <w:szCs w:val="28"/>
        </w:rPr>
        <w:t xml:space="preserve">/ </w:t>
      </w:r>
      <w:r w:rsidRPr="00492254">
        <w:rPr>
          <w:i/>
          <w:iCs/>
          <w:sz w:val="28"/>
          <w:szCs w:val="28"/>
        </w:rPr>
        <w:t xml:space="preserve">is enabled to supply </w:t>
      </w:r>
      <w:r w:rsidRPr="00492254">
        <w:rPr>
          <w:sz w:val="28"/>
          <w:szCs w:val="28"/>
        </w:rPr>
        <w:t xml:space="preserve">/ </w:t>
      </w:r>
      <w:r w:rsidRPr="00492254">
        <w:rPr>
          <w:i/>
          <w:iCs/>
          <w:sz w:val="28"/>
          <w:szCs w:val="28"/>
        </w:rPr>
        <w:t>have now ready for sale</w:t>
      </w:r>
      <w:r w:rsidR="00864ADC" w:rsidRPr="00492254">
        <w:rPr>
          <w:i/>
          <w:iCs/>
          <w:sz w:val="28"/>
          <w:szCs w:val="28"/>
        </w:rPr>
        <w:br/>
      </w:r>
      <w:r w:rsidRPr="00492254">
        <w:rPr>
          <w:smallCaps/>
          <w:sz w:val="28"/>
          <w:szCs w:val="28"/>
        </w:rPr>
        <w:t>audience</w:t>
      </w:r>
      <w:r w:rsidRPr="00492254">
        <w:rPr>
          <w:i/>
          <w:iCs/>
          <w:sz w:val="28"/>
          <w:szCs w:val="28"/>
        </w:rPr>
        <w:t xml:space="preserve"> will be served /</w:t>
      </w:r>
      <w:r w:rsidRPr="00492254">
        <w:rPr>
          <w:sz w:val="28"/>
          <w:szCs w:val="28"/>
        </w:rPr>
        <w:t xml:space="preserve"> </w:t>
      </w:r>
      <w:r w:rsidRPr="00492254">
        <w:rPr>
          <w:i/>
          <w:iCs/>
          <w:sz w:val="28"/>
          <w:szCs w:val="28"/>
        </w:rPr>
        <w:t>may be supplied /</w:t>
      </w:r>
      <w:r w:rsidRPr="00492254">
        <w:rPr>
          <w:sz w:val="28"/>
          <w:szCs w:val="28"/>
        </w:rPr>
        <w:t xml:space="preserve"> </w:t>
      </w:r>
      <w:r w:rsidRPr="00492254">
        <w:rPr>
          <w:i/>
          <w:iCs/>
          <w:sz w:val="28"/>
          <w:szCs w:val="28"/>
        </w:rPr>
        <w:t>will find</w:t>
      </w:r>
    </w:p>
    <w:p w:rsidR="006F3CC9" w:rsidRPr="00492254" w:rsidRDefault="006F3CC9" w:rsidP="0091706C">
      <w:pPr>
        <w:shd w:val="clear" w:color="auto" w:fill="BFBFBF" w:themeFill="background1" w:themeFillShade="BF"/>
        <w:spacing w:after="160" w:line="259" w:lineRule="auto"/>
        <w:rPr>
          <w:i/>
          <w:iCs/>
          <w:sz w:val="28"/>
          <w:szCs w:val="28"/>
        </w:rPr>
      </w:pPr>
      <w:r w:rsidRPr="00492254">
        <w:rPr>
          <w:b/>
          <w:sz w:val="28"/>
          <w:szCs w:val="28"/>
        </w:rPr>
        <w:t>Examples of audiences</w:t>
      </w:r>
      <w:proofErr w:type="gramStart"/>
      <w:r w:rsidRPr="00492254">
        <w:rPr>
          <w:b/>
          <w:sz w:val="28"/>
          <w:szCs w:val="28"/>
        </w:rPr>
        <w:t>:</w:t>
      </w:r>
      <w:proofErr w:type="gramEnd"/>
      <w:r w:rsidR="006304C2" w:rsidRPr="00492254">
        <w:rPr>
          <w:sz w:val="28"/>
          <w:szCs w:val="28"/>
        </w:rPr>
        <w:br/>
      </w:r>
      <w:r w:rsidRPr="00492254">
        <w:rPr>
          <w:i/>
          <w:iCs/>
          <w:sz w:val="28"/>
          <w:szCs w:val="28"/>
        </w:rPr>
        <w:t>the Nobility and Gentry, ladies and gentlemen, public, the general public, friends, families, clergymen</w:t>
      </w:r>
      <w:r w:rsidRPr="00492254">
        <w:rPr>
          <w:sz w:val="28"/>
          <w:szCs w:val="28"/>
        </w:rPr>
        <w:t xml:space="preserve">, </w:t>
      </w:r>
      <w:r w:rsidRPr="00492254">
        <w:rPr>
          <w:i/>
          <w:iCs/>
          <w:sz w:val="28"/>
          <w:szCs w:val="28"/>
        </w:rPr>
        <w:t>gentlemen of the law, respectable persons, those who desire to make speedy payment</w:t>
      </w:r>
    </w:p>
    <w:p w:rsidR="006F3CC9" w:rsidRPr="00194EF1" w:rsidRDefault="006F3CC9" w:rsidP="00522B8E">
      <w:pPr>
        <w:jc w:val="both"/>
      </w:pPr>
    </w:p>
    <w:p w:rsidR="00E4726E" w:rsidRPr="00194EF1" w:rsidRDefault="00E4726E" w:rsidP="003C4A34">
      <w:pPr>
        <w:pStyle w:val="ListParagraph"/>
        <w:numPr>
          <w:ilvl w:val="0"/>
          <w:numId w:val="2"/>
        </w:numPr>
        <w:jc w:val="both"/>
        <w:rPr>
          <w:b/>
          <w:lang w:val="en-GB"/>
        </w:rPr>
      </w:pPr>
      <w:r w:rsidRPr="00194EF1">
        <w:rPr>
          <w:b/>
          <w:lang w:val="en-GB"/>
        </w:rPr>
        <w:t>Data</w:t>
      </w:r>
    </w:p>
    <w:p w:rsidR="00E4726E" w:rsidRPr="00194EF1" w:rsidRDefault="00E4726E" w:rsidP="003C4A34">
      <w:pPr>
        <w:rPr>
          <w:b/>
        </w:rPr>
      </w:pPr>
    </w:p>
    <w:p w:rsidR="00E4726E" w:rsidRPr="00194EF1" w:rsidRDefault="00E4726E" w:rsidP="003C4A34">
      <w:r w:rsidRPr="00194EF1">
        <w:rPr>
          <w:b/>
        </w:rPr>
        <w:t>Table</w:t>
      </w:r>
      <w:r w:rsidR="003C4A34" w:rsidRPr="00194EF1">
        <w:rPr>
          <w:b/>
        </w:rPr>
        <w:t xml:space="preserve"> 1</w:t>
      </w:r>
      <w:r w:rsidRPr="00194EF1">
        <w:t xml:space="preserve">. Corpus of </w:t>
      </w:r>
      <w:r w:rsidRPr="00194EF1">
        <w:rPr>
          <w:i/>
        </w:rPr>
        <w:t>The Times</w:t>
      </w:r>
      <w:r w:rsidRPr="00194EF1">
        <w:t xml:space="preserve"> and </w:t>
      </w:r>
      <w:r w:rsidRPr="00194EF1">
        <w:rPr>
          <w:i/>
        </w:rPr>
        <w:t>the Morning Post</w:t>
      </w:r>
      <w:r w:rsidR="006A1906" w:rsidRPr="00194EF1">
        <w:t xml:space="preserve"> advertisements</w:t>
      </w:r>
      <w:r w:rsidR="006E26F5" w:rsidRPr="00194EF1">
        <w:t>*</w:t>
      </w:r>
      <w:r w:rsidRPr="00194EF1">
        <w:t xml:space="preserve"> </w:t>
      </w:r>
      <w:r w:rsidR="006A1906" w:rsidRPr="00194EF1">
        <w:t>(</w:t>
      </w:r>
      <w:proofErr w:type="spellStart"/>
      <w:r w:rsidR="006A1906" w:rsidRPr="00194EF1">
        <w:t>Palander</w:t>
      </w:r>
      <w:proofErr w:type="spellEnd"/>
      <w:r w:rsidR="006A1906" w:rsidRPr="00194EF1">
        <w:t>-Collin forthcoming: 92).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6"/>
        <w:gridCol w:w="1210"/>
        <w:gridCol w:w="1543"/>
        <w:gridCol w:w="723"/>
      </w:tblGrid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Year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rPr>
                <w:i/>
              </w:rPr>
            </w:pPr>
            <w:r w:rsidRPr="00194EF1">
              <w:rPr>
                <w:i/>
              </w:rPr>
              <w:t>The Times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rPr>
                <w:i/>
              </w:rPr>
            </w:pPr>
            <w:r w:rsidRPr="00194EF1">
              <w:rPr>
                <w:i/>
              </w:rPr>
              <w:t>Morning Post</w:t>
            </w:r>
          </w:p>
        </w:tc>
        <w:tc>
          <w:tcPr>
            <w:tcW w:w="0" w:type="auto"/>
          </w:tcPr>
          <w:p w:rsidR="00E4726E" w:rsidRPr="00194EF1" w:rsidRDefault="00E4726E" w:rsidP="003C4A34">
            <w:r w:rsidRPr="00194EF1">
              <w:t>Total</w:t>
            </w:r>
          </w:p>
        </w:tc>
      </w:tr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1785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jc w:val="right"/>
            </w:pPr>
            <w:r w:rsidRPr="00194EF1">
              <w:t>36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26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66</w:t>
            </w:r>
          </w:p>
        </w:tc>
      </w:tr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1805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jc w:val="right"/>
            </w:pPr>
            <w:r w:rsidRPr="00194EF1">
              <w:t>27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41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68</w:t>
            </w:r>
          </w:p>
        </w:tc>
      </w:tr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1815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jc w:val="right"/>
            </w:pPr>
            <w:r w:rsidRPr="00194EF1">
              <w:t>20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38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58</w:t>
            </w:r>
          </w:p>
        </w:tc>
      </w:tr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1835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jc w:val="right"/>
            </w:pPr>
            <w:r w:rsidRPr="00194EF1">
              <w:t>34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65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99</w:t>
            </w:r>
          </w:p>
        </w:tc>
      </w:tr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1855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jc w:val="right"/>
            </w:pPr>
            <w:r w:rsidRPr="00194EF1">
              <w:t>34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61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95</w:t>
            </w:r>
          </w:p>
        </w:tc>
      </w:tr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1880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jc w:val="right"/>
            </w:pPr>
            <w:r w:rsidRPr="00194EF1">
              <w:t>31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52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83</w:t>
            </w:r>
          </w:p>
        </w:tc>
      </w:tr>
      <w:tr w:rsidR="00E4726E" w:rsidRPr="00194EF1" w:rsidTr="005E4DAA">
        <w:tc>
          <w:tcPr>
            <w:tcW w:w="756" w:type="dxa"/>
          </w:tcPr>
          <w:p w:rsidR="00E4726E" w:rsidRPr="00194EF1" w:rsidRDefault="00E4726E" w:rsidP="003C4A34">
            <w:r w:rsidRPr="00194EF1">
              <w:t>Total</w:t>
            </w:r>
          </w:p>
        </w:tc>
        <w:tc>
          <w:tcPr>
            <w:tcW w:w="1210" w:type="dxa"/>
          </w:tcPr>
          <w:p w:rsidR="00E4726E" w:rsidRPr="00194EF1" w:rsidRDefault="00E4726E" w:rsidP="003C4A34">
            <w:pPr>
              <w:jc w:val="right"/>
            </w:pPr>
            <w:r w:rsidRPr="00194EF1">
              <w:t>182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283</w:t>
            </w:r>
          </w:p>
        </w:tc>
        <w:tc>
          <w:tcPr>
            <w:tcW w:w="0" w:type="auto"/>
          </w:tcPr>
          <w:p w:rsidR="00E4726E" w:rsidRPr="00194EF1" w:rsidRDefault="00E4726E" w:rsidP="003C4A34">
            <w:pPr>
              <w:jc w:val="right"/>
            </w:pPr>
            <w:r w:rsidRPr="00194EF1">
              <w:t>465</w:t>
            </w:r>
          </w:p>
        </w:tc>
      </w:tr>
    </w:tbl>
    <w:p w:rsidR="00E4726E" w:rsidRPr="00194EF1" w:rsidRDefault="00E4726E" w:rsidP="003C4A34">
      <w:pPr>
        <w:jc w:val="both"/>
        <w:rPr>
          <w:lang w:val="en-GB"/>
        </w:rPr>
      </w:pPr>
    </w:p>
    <w:p w:rsidR="00E4726E" w:rsidRPr="00194EF1" w:rsidRDefault="00E4726E" w:rsidP="003C4A34">
      <w:pPr>
        <w:jc w:val="both"/>
        <w:rPr>
          <w:lang w:val="en-GB"/>
        </w:rPr>
      </w:pPr>
    </w:p>
    <w:p w:rsidR="00E4726E" w:rsidRPr="00194EF1" w:rsidRDefault="00E4726E" w:rsidP="003C4A34">
      <w:pPr>
        <w:jc w:val="both"/>
        <w:rPr>
          <w:lang w:val="en-GB"/>
        </w:rPr>
      </w:pPr>
    </w:p>
    <w:p w:rsidR="00E4726E" w:rsidRPr="00194EF1" w:rsidRDefault="00E4726E" w:rsidP="003C4A34">
      <w:pPr>
        <w:jc w:val="both"/>
        <w:rPr>
          <w:lang w:val="en-GB"/>
        </w:rPr>
      </w:pPr>
    </w:p>
    <w:p w:rsidR="00E4726E" w:rsidRPr="00194EF1" w:rsidRDefault="00E4726E" w:rsidP="003C4A34">
      <w:pPr>
        <w:jc w:val="both"/>
        <w:rPr>
          <w:lang w:val="en-GB"/>
        </w:rPr>
      </w:pPr>
    </w:p>
    <w:p w:rsidR="00E4726E" w:rsidRPr="00194EF1" w:rsidRDefault="00E4726E" w:rsidP="003C4A34">
      <w:pPr>
        <w:jc w:val="both"/>
        <w:rPr>
          <w:lang w:val="en-GB"/>
        </w:rPr>
      </w:pPr>
    </w:p>
    <w:p w:rsidR="00E4726E" w:rsidRPr="00194EF1" w:rsidRDefault="00E4726E" w:rsidP="003C4A34">
      <w:pPr>
        <w:jc w:val="both"/>
        <w:rPr>
          <w:lang w:val="en-GB"/>
        </w:rPr>
      </w:pPr>
    </w:p>
    <w:p w:rsidR="00E4726E" w:rsidRPr="00194EF1" w:rsidRDefault="00E4726E" w:rsidP="003C4A34">
      <w:pPr>
        <w:jc w:val="both"/>
        <w:rPr>
          <w:lang w:val="en-GB"/>
        </w:rPr>
      </w:pPr>
    </w:p>
    <w:p w:rsidR="00D12A39" w:rsidRPr="00194EF1" w:rsidRDefault="00555D6D" w:rsidP="00555D6D">
      <w:pPr>
        <w:jc w:val="both"/>
      </w:pPr>
      <w:r w:rsidRPr="00194EF1">
        <w:rPr>
          <w:lang w:val="en-GB"/>
        </w:rPr>
        <w:br/>
      </w:r>
      <w:r w:rsidR="006E26F5" w:rsidRPr="00194EF1">
        <w:t>*</w:t>
      </w:r>
      <w:r w:rsidR="00D12A39" w:rsidRPr="00194EF1">
        <w:t xml:space="preserve">Ads for clothes, cosmetics, </w:t>
      </w:r>
      <w:proofErr w:type="spellStart"/>
      <w:r w:rsidR="00D12A39" w:rsidRPr="00194EF1">
        <w:t>jewellery</w:t>
      </w:r>
      <w:proofErr w:type="spellEnd"/>
      <w:r w:rsidR="00D12A39" w:rsidRPr="00194EF1">
        <w:t>, household items, food and beverages</w:t>
      </w:r>
    </w:p>
    <w:p w:rsidR="00194EF1" w:rsidRDefault="00194EF1" w:rsidP="00194EF1">
      <w:pPr>
        <w:spacing w:after="160" w:line="259" w:lineRule="auto"/>
      </w:pPr>
    </w:p>
    <w:p w:rsidR="00E4726E" w:rsidRPr="00194EF1" w:rsidRDefault="0089168F" w:rsidP="00194EF1">
      <w:pPr>
        <w:pStyle w:val="ListParagraph"/>
        <w:numPr>
          <w:ilvl w:val="0"/>
          <w:numId w:val="2"/>
        </w:numPr>
        <w:spacing w:after="160" w:line="259" w:lineRule="auto"/>
        <w:rPr>
          <w:b/>
          <w:lang w:val="en-GB"/>
        </w:rPr>
      </w:pPr>
      <w:r w:rsidRPr="00194EF1">
        <w:rPr>
          <w:b/>
          <w:lang w:val="en-GB"/>
        </w:rPr>
        <w:t>Frequency of person-mention in 19</w:t>
      </w:r>
      <w:r w:rsidRPr="00194EF1">
        <w:rPr>
          <w:b/>
          <w:vertAlign w:val="superscript"/>
          <w:lang w:val="en-GB"/>
        </w:rPr>
        <w:t>th</w:t>
      </w:r>
      <w:r w:rsidRPr="00194EF1">
        <w:rPr>
          <w:b/>
          <w:lang w:val="en-GB"/>
        </w:rPr>
        <w:t>-century ads</w:t>
      </w:r>
    </w:p>
    <w:p w:rsidR="0089168F" w:rsidRPr="00194EF1" w:rsidRDefault="0089168F" w:rsidP="0089168F">
      <w:pPr>
        <w:pStyle w:val="ListParagraph"/>
        <w:jc w:val="both"/>
        <w:rPr>
          <w:lang w:val="en-GB"/>
        </w:rPr>
      </w:pPr>
    </w:p>
    <w:p w:rsidR="003C4A34" w:rsidRPr="00194EF1" w:rsidRDefault="003C4A34" w:rsidP="00864ADC">
      <w:r w:rsidRPr="00194EF1">
        <w:rPr>
          <w:b/>
        </w:rPr>
        <w:t>Table 2</w:t>
      </w:r>
      <w:r w:rsidRPr="00194EF1">
        <w:t xml:space="preserve">. Frequency of person-mention in </w:t>
      </w:r>
      <w:r w:rsidRPr="00194EF1">
        <w:rPr>
          <w:i/>
        </w:rPr>
        <w:t>The Times</w:t>
      </w:r>
      <w:r w:rsidRPr="00194EF1">
        <w:t xml:space="preserve"> and the </w:t>
      </w:r>
      <w:r w:rsidRPr="00194EF1">
        <w:rPr>
          <w:i/>
        </w:rPr>
        <w:t>Morning Post</w:t>
      </w:r>
      <w:r w:rsidRPr="00194EF1">
        <w:t xml:space="preserve"> 1785–1880</w:t>
      </w:r>
      <w:r w:rsidR="00864ADC" w:rsidRPr="00194EF1">
        <w:t xml:space="preserve"> (</w:t>
      </w:r>
      <w:proofErr w:type="spellStart"/>
      <w:r w:rsidR="00864ADC" w:rsidRPr="00194EF1">
        <w:t>Palander</w:t>
      </w:r>
      <w:proofErr w:type="spellEnd"/>
      <w:r w:rsidR="00864ADC" w:rsidRPr="00194EF1">
        <w:t>-Collin forthcoming: 93).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  <w:gridCol w:w="1310"/>
        <w:gridCol w:w="1310"/>
        <w:gridCol w:w="1310"/>
      </w:tblGrid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7857" w:type="dxa"/>
            <w:gridSpan w:val="6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 xml:space="preserve">Person-mention </w:t>
            </w:r>
          </w:p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Hits (Average frequency)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2618" w:type="dxa"/>
            <w:gridSpan w:val="2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Advertiser</w:t>
            </w:r>
          </w:p>
        </w:tc>
        <w:tc>
          <w:tcPr>
            <w:tcW w:w="2619" w:type="dxa"/>
            <w:gridSpan w:val="2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Audience</w:t>
            </w:r>
          </w:p>
        </w:tc>
        <w:tc>
          <w:tcPr>
            <w:tcW w:w="2620" w:type="dxa"/>
            <w:gridSpan w:val="2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Other people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Year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Times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Morning Post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Times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Morning Post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Times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Morning Post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1785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170 (4.7)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112 (4.3)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122 (3.4)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52 (2.0)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49 (1.4)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64 (2.5)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1805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115 (4.3)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147 (3.6)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66 (2.4)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71 (1.7)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23 (0.9)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31 (0.8)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1815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61 (3.1)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103 (2.7)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35 (1.8)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47 (1.2)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17 (0.9)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15 (0.4)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1835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76 (2.2)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195 (3.0)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33 (1.0)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77 (1.2)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28 (0.8)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65 (1.0)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1855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67 (2.0)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141 (2.3)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19 (0.6)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60 (1.0)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19 (0.6)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37 (0.6)</w:t>
            </w:r>
          </w:p>
        </w:tc>
      </w:tr>
      <w:tr w:rsidR="003C4A34" w:rsidRPr="00194EF1" w:rsidTr="005E4DAA"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1880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55 (1.8)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101 (1.9)</w:t>
            </w:r>
          </w:p>
        </w:tc>
        <w:tc>
          <w:tcPr>
            <w:tcW w:w="1309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12 (0.4)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27 (0.5)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9 (0.3)</w:t>
            </w:r>
          </w:p>
        </w:tc>
        <w:tc>
          <w:tcPr>
            <w:tcW w:w="131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39 (0.8)</w:t>
            </w:r>
          </w:p>
        </w:tc>
      </w:tr>
    </w:tbl>
    <w:p w:rsidR="003C4A34" w:rsidRPr="00194EF1" w:rsidRDefault="003C4A34" w:rsidP="00864ADC">
      <w:bookmarkStart w:id="0" w:name="_GoBack"/>
      <w:bookmarkEnd w:id="0"/>
      <w:r w:rsidRPr="00194EF1">
        <w:rPr>
          <w:b/>
        </w:rPr>
        <w:lastRenderedPageBreak/>
        <w:t>Table 3</w:t>
      </w:r>
      <w:r w:rsidRPr="00194EF1">
        <w:t xml:space="preserve">. Proportion of advertisements with various combinations of person-mentions in </w:t>
      </w:r>
      <w:r w:rsidRPr="00194EF1">
        <w:rPr>
          <w:i/>
        </w:rPr>
        <w:t>The Times</w:t>
      </w:r>
      <w:r w:rsidRPr="00194EF1">
        <w:t xml:space="preserve"> and the </w:t>
      </w:r>
      <w:r w:rsidRPr="00194EF1">
        <w:rPr>
          <w:i/>
        </w:rPr>
        <w:t>Morning Post</w:t>
      </w:r>
      <w:r w:rsidRPr="00194EF1">
        <w:t xml:space="preserve"> 1785–1880.  (AD=Advertiser, AU=Audience, O=</w:t>
      </w:r>
      <w:proofErr w:type="gramStart"/>
      <w:r w:rsidRPr="00194EF1">
        <w:t>Other</w:t>
      </w:r>
      <w:proofErr w:type="gramEnd"/>
      <w:r w:rsidRPr="00194EF1">
        <w:t xml:space="preserve"> persons)</w:t>
      </w:r>
      <w:r w:rsidR="00864ADC" w:rsidRPr="00194EF1">
        <w:t>. (</w:t>
      </w:r>
      <w:proofErr w:type="spellStart"/>
      <w:r w:rsidR="00864ADC" w:rsidRPr="00194EF1">
        <w:t>Palander</w:t>
      </w:r>
      <w:proofErr w:type="spellEnd"/>
      <w:r w:rsidR="00864ADC" w:rsidRPr="00194EF1">
        <w:t xml:space="preserve">-Collin forthcoming: 95). 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1134"/>
        <w:gridCol w:w="851"/>
        <w:gridCol w:w="1105"/>
        <w:gridCol w:w="1163"/>
        <w:gridCol w:w="1275"/>
        <w:gridCol w:w="993"/>
        <w:gridCol w:w="1275"/>
      </w:tblGrid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 xml:space="preserve">AD 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AD+</w:t>
            </w:r>
            <w:r w:rsidRPr="00194EF1">
              <w:br/>
              <w:t>AU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AD+AU+O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AD+O</w:t>
            </w:r>
          </w:p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</w:tr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Times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Morning Post</w:t>
            </w: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Times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Morning Post</w:t>
            </w: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Times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Morning Post</w:t>
            </w: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Times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Morning Post</w:t>
            </w:r>
          </w:p>
        </w:tc>
      </w:tr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1785</w:t>
            </w: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8%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4%</w:t>
            </w: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42%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23%</w:t>
            </w: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47%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65%</w:t>
            </w: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8%</w:t>
            </w:r>
          </w:p>
        </w:tc>
      </w:tr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1805</w:t>
            </w: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7%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15%</w:t>
            </w: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48%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40%</w:t>
            </w: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30%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30%</w:t>
            </w: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0%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13%</w:t>
            </w:r>
          </w:p>
        </w:tc>
      </w:tr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1815</w:t>
            </w: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5%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26%</w:t>
            </w: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43%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47%</w:t>
            </w: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38%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13%</w:t>
            </w: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14%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13%</w:t>
            </w:r>
          </w:p>
        </w:tc>
      </w:tr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1835</w:t>
            </w: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26%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19%</w:t>
            </w: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41%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27%</w:t>
            </w: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15%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41%</w:t>
            </w: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12%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14%</w:t>
            </w:r>
          </w:p>
        </w:tc>
      </w:tr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1855</w:t>
            </w: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44%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31%</w:t>
            </w: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24%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28%</w:t>
            </w: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9%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28%</w:t>
            </w: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24%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13%</w:t>
            </w:r>
          </w:p>
        </w:tc>
      </w:tr>
      <w:tr w:rsidR="003C4A34" w:rsidRPr="00194EF1" w:rsidTr="00E16D54">
        <w:tc>
          <w:tcPr>
            <w:tcW w:w="88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1880</w:t>
            </w:r>
          </w:p>
        </w:tc>
        <w:tc>
          <w:tcPr>
            <w:tcW w:w="850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58%</w:t>
            </w:r>
          </w:p>
        </w:tc>
        <w:tc>
          <w:tcPr>
            <w:tcW w:w="1134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37%</w:t>
            </w:r>
          </w:p>
        </w:tc>
        <w:tc>
          <w:tcPr>
            <w:tcW w:w="851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19%</w:t>
            </w:r>
          </w:p>
        </w:tc>
        <w:tc>
          <w:tcPr>
            <w:tcW w:w="110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18%</w:t>
            </w:r>
          </w:p>
        </w:tc>
        <w:tc>
          <w:tcPr>
            <w:tcW w:w="116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6%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14%</w:t>
            </w:r>
          </w:p>
        </w:tc>
        <w:tc>
          <w:tcPr>
            <w:tcW w:w="993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16%</w:t>
            </w:r>
          </w:p>
        </w:tc>
        <w:tc>
          <w:tcPr>
            <w:tcW w:w="1275" w:type="dxa"/>
          </w:tcPr>
          <w:p w:rsidR="003C4A34" w:rsidRPr="00194EF1" w:rsidRDefault="003C4A34" w:rsidP="003C4A34">
            <w:pPr>
              <w:pStyle w:val="ListParagraph"/>
              <w:ind w:left="0"/>
            </w:pPr>
            <w:r w:rsidRPr="00194EF1">
              <w:t>25%</w:t>
            </w:r>
          </w:p>
        </w:tc>
      </w:tr>
    </w:tbl>
    <w:p w:rsidR="003C4A34" w:rsidRPr="00194EF1" w:rsidRDefault="003C4A34" w:rsidP="003C4A34">
      <w:pPr>
        <w:pStyle w:val="ListParagraph"/>
        <w:ind w:left="0"/>
      </w:pPr>
    </w:p>
    <w:p w:rsidR="00E4726E" w:rsidRPr="00194EF1" w:rsidRDefault="00E4726E" w:rsidP="003C4A34">
      <w:pPr>
        <w:jc w:val="both"/>
        <w:rPr>
          <w:lang w:val="en-GB"/>
        </w:rPr>
      </w:pPr>
    </w:p>
    <w:p w:rsidR="00A551AB" w:rsidRPr="00194EF1" w:rsidRDefault="00A551AB" w:rsidP="0089168F">
      <w:pPr>
        <w:pStyle w:val="ListParagraph"/>
        <w:numPr>
          <w:ilvl w:val="0"/>
          <w:numId w:val="2"/>
        </w:numPr>
        <w:jc w:val="both"/>
        <w:rPr>
          <w:b/>
          <w:lang w:val="en-GB"/>
        </w:rPr>
      </w:pPr>
      <w:r w:rsidRPr="00194EF1">
        <w:rPr>
          <w:b/>
          <w:lang w:val="en-GB"/>
        </w:rPr>
        <w:t>References</w:t>
      </w:r>
    </w:p>
    <w:p w:rsidR="00A551AB" w:rsidRPr="00194EF1" w:rsidRDefault="00A551AB" w:rsidP="003C4A34">
      <w:pPr>
        <w:jc w:val="both"/>
        <w:rPr>
          <w:lang w:val="en-GB"/>
        </w:rPr>
      </w:pPr>
    </w:p>
    <w:p w:rsidR="00AF61A1" w:rsidRPr="00194EF1" w:rsidRDefault="00B718BD" w:rsidP="00AF61A1">
      <w:pPr>
        <w:ind w:left="360" w:hanging="360"/>
        <w:jc w:val="both"/>
        <w:rPr>
          <w:lang w:val="en-GB"/>
        </w:rPr>
      </w:pPr>
      <w:proofErr w:type="spellStart"/>
      <w:r w:rsidRPr="00194EF1">
        <w:t>Bax</w:t>
      </w:r>
      <w:proofErr w:type="spellEnd"/>
      <w:r w:rsidRPr="00194EF1">
        <w:t xml:space="preserve">, Marcel &amp; Daniel </w:t>
      </w:r>
      <w:proofErr w:type="spellStart"/>
      <w:r w:rsidRPr="00194EF1">
        <w:t>Kádár</w:t>
      </w:r>
      <w:proofErr w:type="spellEnd"/>
      <w:r w:rsidRPr="00194EF1">
        <w:t>. 2012. The historical understanding of historical (</w:t>
      </w:r>
      <w:proofErr w:type="spellStart"/>
      <w:r w:rsidRPr="00194EF1">
        <w:t>im</w:t>
      </w:r>
      <w:proofErr w:type="spellEnd"/>
      <w:proofErr w:type="gramStart"/>
      <w:r w:rsidRPr="00194EF1">
        <w:t>)politeness</w:t>
      </w:r>
      <w:proofErr w:type="gramEnd"/>
      <w:r w:rsidRPr="00194EF1">
        <w:t xml:space="preserve">. Introduction. In </w:t>
      </w:r>
      <w:r w:rsidRPr="00194EF1">
        <w:rPr>
          <w:lang w:val="en-GB"/>
        </w:rPr>
        <w:t xml:space="preserve">D. </w:t>
      </w:r>
      <w:proofErr w:type="spellStart"/>
      <w:r w:rsidRPr="00194EF1">
        <w:rPr>
          <w:lang w:val="en-GB"/>
        </w:rPr>
        <w:t>Kádár</w:t>
      </w:r>
      <w:proofErr w:type="spellEnd"/>
      <w:r w:rsidRPr="00194EF1">
        <w:rPr>
          <w:lang w:val="en-GB"/>
        </w:rPr>
        <w:t xml:space="preserve"> &amp; M. </w:t>
      </w:r>
      <w:proofErr w:type="spellStart"/>
      <w:r w:rsidRPr="00194EF1">
        <w:rPr>
          <w:lang w:val="en-GB"/>
        </w:rPr>
        <w:t>Bax</w:t>
      </w:r>
      <w:proofErr w:type="spellEnd"/>
      <w:r w:rsidRPr="00194EF1">
        <w:rPr>
          <w:lang w:val="en-GB"/>
        </w:rPr>
        <w:t xml:space="preserve"> (</w:t>
      </w:r>
      <w:proofErr w:type="gramStart"/>
      <w:r w:rsidRPr="00194EF1">
        <w:rPr>
          <w:lang w:val="en-GB"/>
        </w:rPr>
        <w:t>eds</w:t>
      </w:r>
      <w:proofErr w:type="gramEnd"/>
      <w:r w:rsidRPr="00194EF1">
        <w:rPr>
          <w:lang w:val="en-GB"/>
        </w:rPr>
        <w:t xml:space="preserve">.). </w:t>
      </w:r>
      <w:r w:rsidRPr="00194EF1">
        <w:rPr>
          <w:i/>
          <w:lang w:val="en-GB"/>
        </w:rPr>
        <w:t>Understanding Historical (</w:t>
      </w:r>
      <w:proofErr w:type="spellStart"/>
      <w:r w:rsidRPr="00194EF1">
        <w:rPr>
          <w:i/>
          <w:lang w:val="en-GB"/>
        </w:rPr>
        <w:t>Im</w:t>
      </w:r>
      <w:proofErr w:type="spellEnd"/>
      <w:proofErr w:type="gramStart"/>
      <w:r w:rsidRPr="00194EF1">
        <w:rPr>
          <w:i/>
          <w:lang w:val="en-GB"/>
        </w:rPr>
        <w:t>)Politeness</w:t>
      </w:r>
      <w:proofErr w:type="gramEnd"/>
      <w:r w:rsidRPr="00194EF1">
        <w:rPr>
          <w:i/>
          <w:lang w:val="en-GB"/>
        </w:rPr>
        <w:t>. Relational Linguistic Practice over Time and across Cultures</w:t>
      </w:r>
      <w:r w:rsidRPr="00194EF1">
        <w:rPr>
          <w:lang w:val="en-GB"/>
        </w:rPr>
        <w:t xml:space="preserve">. Amsterdam &amp; </w:t>
      </w:r>
      <w:proofErr w:type="spellStart"/>
      <w:r w:rsidRPr="00194EF1">
        <w:rPr>
          <w:lang w:val="en-GB"/>
        </w:rPr>
        <w:t>Phi</w:t>
      </w:r>
      <w:r w:rsidR="00AF61A1" w:rsidRPr="00194EF1">
        <w:rPr>
          <w:lang w:val="en-GB"/>
        </w:rPr>
        <w:t>ldelphia</w:t>
      </w:r>
      <w:proofErr w:type="spellEnd"/>
      <w:r w:rsidR="00AF61A1" w:rsidRPr="00194EF1">
        <w:rPr>
          <w:lang w:val="en-GB"/>
        </w:rPr>
        <w:t xml:space="preserve">: John </w:t>
      </w:r>
      <w:proofErr w:type="spellStart"/>
      <w:r w:rsidR="00AF61A1" w:rsidRPr="00194EF1">
        <w:rPr>
          <w:lang w:val="en-GB"/>
        </w:rPr>
        <w:t>Benjamins</w:t>
      </w:r>
      <w:proofErr w:type="spellEnd"/>
      <w:r w:rsidR="00AF61A1" w:rsidRPr="00194EF1">
        <w:rPr>
          <w:lang w:val="en-GB"/>
        </w:rPr>
        <w:t>. 1-24.</w:t>
      </w:r>
    </w:p>
    <w:p w:rsidR="00AF61A1" w:rsidRPr="00194EF1" w:rsidRDefault="00AF61A1" w:rsidP="00AF61A1">
      <w:pPr>
        <w:ind w:left="360" w:hanging="360"/>
        <w:jc w:val="both"/>
        <w:rPr>
          <w:lang w:val="en-GB"/>
        </w:rPr>
      </w:pPr>
      <w:proofErr w:type="spellStart"/>
      <w:r w:rsidRPr="00194EF1">
        <w:rPr>
          <w:rFonts w:eastAsiaTheme="minorHAnsi"/>
        </w:rPr>
        <w:t>Baumeister</w:t>
      </w:r>
      <w:proofErr w:type="spellEnd"/>
      <w:r w:rsidRPr="00194EF1">
        <w:rPr>
          <w:rFonts w:eastAsiaTheme="minorHAnsi"/>
        </w:rPr>
        <w:t xml:space="preserve">, Roy F. 1987. How the </w:t>
      </w:r>
      <w:proofErr w:type="spellStart"/>
      <w:r w:rsidRPr="00194EF1">
        <w:rPr>
          <w:rFonts w:eastAsiaTheme="minorHAnsi"/>
        </w:rPr>
        <w:t>self became</w:t>
      </w:r>
      <w:proofErr w:type="spellEnd"/>
      <w:r w:rsidRPr="00194EF1">
        <w:rPr>
          <w:rFonts w:eastAsiaTheme="minorHAnsi"/>
        </w:rPr>
        <w:t xml:space="preserve"> a problem: A psychological review of historical</w:t>
      </w:r>
    </w:p>
    <w:p w:rsidR="00AF61A1" w:rsidRPr="00194EF1" w:rsidRDefault="00AF61A1" w:rsidP="00AF61A1">
      <w:pPr>
        <w:ind w:left="284" w:firstLine="142"/>
        <w:rPr>
          <w:rFonts w:eastAsiaTheme="minorHAnsi"/>
        </w:rPr>
      </w:pPr>
      <w:proofErr w:type="gramStart"/>
      <w:r w:rsidRPr="00194EF1">
        <w:rPr>
          <w:rFonts w:eastAsiaTheme="minorHAnsi"/>
        </w:rPr>
        <w:t>research</w:t>
      </w:r>
      <w:proofErr w:type="gramEnd"/>
      <w:r w:rsidRPr="00194EF1">
        <w:rPr>
          <w:rFonts w:eastAsiaTheme="minorHAnsi"/>
        </w:rPr>
        <w:t xml:space="preserve">. </w:t>
      </w:r>
      <w:r w:rsidRPr="00194EF1">
        <w:rPr>
          <w:rFonts w:eastAsia="MinionPro-It"/>
          <w:i/>
          <w:iCs/>
        </w:rPr>
        <w:t xml:space="preserve">Journal of Personality and Social Psychology </w:t>
      </w:r>
      <w:r w:rsidRPr="00194EF1">
        <w:rPr>
          <w:rFonts w:eastAsiaTheme="minorHAnsi"/>
        </w:rPr>
        <w:t>52.1, 163–176.</w:t>
      </w:r>
    </w:p>
    <w:p w:rsidR="00AF61A1" w:rsidRPr="00194EF1" w:rsidRDefault="00AF61A1" w:rsidP="00AF61A1">
      <w:pPr>
        <w:rPr>
          <w:rFonts w:eastAsiaTheme="minorHAnsi"/>
          <w:i/>
        </w:rPr>
      </w:pPr>
      <w:r w:rsidRPr="00194EF1">
        <w:t>Bellamy, Ron. 1988</w:t>
      </w:r>
      <w:r w:rsidR="00DB1B45" w:rsidRPr="00194EF1">
        <w:t>. Victorian economic values. In</w:t>
      </w:r>
      <w:r w:rsidRPr="00194EF1">
        <w:t xml:space="preserve"> Eric M. </w:t>
      </w:r>
      <w:proofErr w:type="spellStart"/>
      <w:r w:rsidRPr="00194EF1">
        <w:t>Sigsworth</w:t>
      </w:r>
      <w:proofErr w:type="spellEnd"/>
      <w:r w:rsidRPr="00194EF1">
        <w:t xml:space="preserve"> (</w:t>
      </w:r>
      <w:proofErr w:type="gramStart"/>
      <w:r w:rsidRPr="00194EF1">
        <w:t>ed</w:t>
      </w:r>
      <w:proofErr w:type="gramEnd"/>
      <w:r w:rsidRPr="00194EF1">
        <w:t xml:space="preserve">.). </w:t>
      </w:r>
      <w:r w:rsidRPr="00194EF1">
        <w:rPr>
          <w:i/>
        </w:rPr>
        <w:t>In Search of Victorian</w:t>
      </w:r>
    </w:p>
    <w:p w:rsidR="0091706C" w:rsidRPr="00194EF1" w:rsidRDefault="00AF61A1" w:rsidP="0091706C">
      <w:pPr>
        <w:ind w:left="426"/>
      </w:pPr>
      <w:r w:rsidRPr="00194EF1">
        <w:rPr>
          <w:i/>
        </w:rPr>
        <w:t>Values: Aspects of Nineteenth-Century Thought and Society</w:t>
      </w:r>
      <w:r w:rsidRPr="00194EF1">
        <w:t>. Manchester: Manchester</w:t>
      </w:r>
      <w:r w:rsidR="00DB1B45" w:rsidRPr="00194EF1">
        <w:t xml:space="preserve"> </w:t>
      </w:r>
      <w:r w:rsidRPr="00194EF1">
        <w:t>University Press, 42–55.</w:t>
      </w:r>
    </w:p>
    <w:p w:rsidR="00F15C20" w:rsidRPr="00194EF1" w:rsidRDefault="00F15C20" w:rsidP="0091706C">
      <w:pPr>
        <w:ind w:left="426" w:hanging="426"/>
      </w:pPr>
      <w:r w:rsidRPr="00194EF1">
        <w:t xml:space="preserve">Berg, Maxine. 2004. Consumption in eighteenth- and early nineteenth-century Britain. In </w:t>
      </w:r>
      <w:proofErr w:type="spellStart"/>
      <w:r w:rsidRPr="00194EF1">
        <w:t>R.Floud</w:t>
      </w:r>
      <w:proofErr w:type="spellEnd"/>
      <w:r w:rsidRPr="00194EF1">
        <w:t xml:space="preserve"> &amp; P. Johnson (</w:t>
      </w:r>
      <w:proofErr w:type="gramStart"/>
      <w:r w:rsidRPr="00194EF1">
        <w:t>eds</w:t>
      </w:r>
      <w:proofErr w:type="gramEnd"/>
      <w:r w:rsidRPr="00194EF1">
        <w:t xml:space="preserve">.). </w:t>
      </w:r>
      <w:r w:rsidRPr="00194EF1">
        <w:rPr>
          <w:i/>
        </w:rPr>
        <w:t xml:space="preserve">The Cambridge Economic History of Modern Britain Volume 1: </w:t>
      </w:r>
      <w:proofErr w:type="spellStart"/>
      <w:r w:rsidRPr="00194EF1">
        <w:rPr>
          <w:i/>
        </w:rPr>
        <w:t>Industrialisation</w:t>
      </w:r>
      <w:proofErr w:type="spellEnd"/>
      <w:r w:rsidRPr="00194EF1">
        <w:rPr>
          <w:i/>
        </w:rPr>
        <w:t>, 1700–1860</w:t>
      </w:r>
      <w:r w:rsidRPr="00194EF1">
        <w:t>. Cambridge: Cambridge University Press. 357-387.</w:t>
      </w:r>
    </w:p>
    <w:p w:rsidR="00AF61A1" w:rsidRPr="00194EF1" w:rsidRDefault="00AF61A1" w:rsidP="00732379">
      <w:pPr>
        <w:ind w:left="426" w:hanging="426"/>
      </w:pPr>
      <w:r w:rsidRPr="00194EF1">
        <w:t xml:space="preserve">Enfield, N. J.  &amp; Tanja </w:t>
      </w:r>
      <w:proofErr w:type="spellStart"/>
      <w:r w:rsidRPr="00194EF1">
        <w:t>Stievers</w:t>
      </w:r>
      <w:proofErr w:type="spellEnd"/>
      <w:r w:rsidRPr="00194EF1">
        <w:t xml:space="preserve"> (</w:t>
      </w:r>
      <w:proofErr w:type="gramStart"/>
      <w:r w:rsidRPr="00194EF1">
        <w:t>eds</w:t>
      </w:r>
      <w:proofErr w:type="gramEnd"/>
      <w:r w:rsidRPr="00194EF1">
        <w:t xml:space="preserve">.). 2007. </w:t>
      </w:r>
      <w:r w:rsidRPr="00194EF1">
        <w:rPr>
          <w:i/>
        </w:rPr>
        <w:t xml:space="preserve">Person </w:t>
      </w:r>
      <w:r w:rsidR="00732379" w:rsidRPr="00194EF1">
        <w:rPr>
          <w:i/>
        </w:rPr>
        <w:t>R</w:t>
      </w:r>
      <w:r w:rsidRPr="00194EF1">
        <w:rPr>
          <w:i/>
        </w:rPr>
        <w:t xml:space="preserve">eference in </w:t>
      </w:r>
      <w:r w:rsidR="00732379" w:rsidRPr="00194EF1">
        <w:rPr>
          <w:i/>
        </w:rPr>
        <w:t>I</w:t>
      </w:r>
      <w:r w:rsidRPr="00194EF1">
        <w:rPr>
          <w:i/>
        </w:rPr>
        <w:t xml:space="preserve">nteraction: Linguistic, </w:t>
      </w:r>
      <w:r w:rsidR="00732379" w:rsidRPr="00194EF1">
        <w:rPr>
          <w:i/>
        </w:rPr>
        <w:t>C</w:t>
      </w:r>
      <w:r w:rsidRPr="00194EF1">
        <w:rPr>
          <w:i/>
        </w:rPr>
        <w:t xml:space="preserve">ultural and </w:t>
      </w:r>
      <w:r w:rsidR="00732379" w:rsidRPr="00194EF1">
        <w:rPr>
          <w:i/>
        </w:rPr>
        <w:t>S</w:t>
      </w:r>
      <w:r w:rsidRPr="00194EF1">
        <w:rPr>
          <w:i/>
        </w:rPr>
        <w:t xml:space="preserve">ocial </w:t>
      </w:r>
      <w:r w:rsidR="00732379" w:rsidRPr="00194EF1">
        <w:rPr>
          <w:i/>
        </w:rPr>
        <w:t>P</w:t>
      </w:r>
      <w:r w:rsidRPr="00194EF1">
        <w:rPr>
          <w:i/>
        </w:rPr>
        <w:t>erspectives</w:t>
      </w:r>
      <w:r w:rsidRPr="00194EF1">
        <w:t xml:space="preserve">. Cambridge: Cambridge University Press. </w:t>
      </w:r>
    </w:p>
    <w:p w:rsidR="00A551AB" w:rsidRPr="00194EF1" w:rsidRDefault="00A551AB" w:rsidP="003C4A34">
      <w:pPr>
        <w:ind w:left="360" w:hanging="360"/>
        <w:jc w:val="both"/>
        <w:rPr>
          <w:lang w:val="en-GB"/>
        </w:rPr>
      </w:pPr>
      <w:proofErr w:type="spellStart"/>
      <w:r w:rsidRPr="00194EF1">
        <w:rPr>
          <w:lang w:val="en-GB"/>
        </w:rPr>
        <w:t>Cannadine</w:t>
      </w:r>
      <w:proofErr w:type="spellEnd"/>
      <w:r w:rsidRPr="00194EF1">
        <w:rPr>
          <w:lang w:val="en-GB"/>
        </w:rPr>
        <w:t xml:space="preserve">, David. 1998. </w:t>
      </w:r>
      <w:r w:rsidRPr="00194EF1">
        <w:rPr>
          <w:i/>
          <w:lang w:val="en-GB"/>
        </w:rPr>
        <w:t>Class in Britain</w:t>
      </w:r>
      <w:r w:rsidRPr="00194EF1">
        <w:rPr>
          <w:lang w:val="en-GB"/>
        </w:rPr>
        <w:t xml:space="preserve">. New Haven &amp; London: Yale University Press. </w:t>
      </w:r>
    </w:p>
    <w:p w:rsidR="00AF61A1" w:rsidRPr="00194EF1" w:rsidRDefault="00AF61A1" w:rsidP="00AF61A1">
      <w:pPr>
        <w:ind w:left="567" w:hanging="567"/>
      </w:pPr>
      <w:r w:rsidRPr="00194EF1">
        <w:t xml:space="preserve">Church, Roy. 2000. Advertising consumer goods in nineteenth-century Britain: Reinterpretations. </w:t>
      </w:r>
      <w:r w:rsidRPr="00194EF1">
        <w:rPr>
          <w:i/>
        </w:rPr>
        <w:t>Economic History Review</w:t>
      </w:r>
      <w:r w:rsidR="00732379" w:rsidRPr="00194EF1">
        <w:t xml:space="preserve"> LIII (4):</w:t>
      </w:r>
      <w:r w:rsidRPr="00194EF1">
        <w:t xml:space="preserve"> 621–645.</w:t>
      </w:r>
    </w:p>
    <w:p w:rsidR="00A551AB" w:rsidRPr="00194EF1" w:rsidRDefault="00A551AB" w:rsidP="003C4A34">
      <w:pPr>
        <w:ind w:left="360" w:hanging="360"/>
        <w:jc w:val="both"/>
        <w:rPr>
          <w:lang w:val="en-GB"/>
        </w:rPr>
      </w:pPr>
      <w:r w:rsidRPr="00194EF1">
        <w:rPr>
          <w:lang w:val="en-GB"/>
        </w:rPr>
        <w:t xml:space="preserve">Culpeper, Jonathan &amp; Jane </w:t>
      </w:r>
      <w:proofErr w:type="spellStart"/>
      <w:r w:rsidRPr="00194EF1">
        <w:rPr>
          <w:lang w:val="en-GB"/>
        </w:rPr>
        <w:t>Demmen</w:t>
      </w:r>
      <w:proofErr w:type="spellEnd"/>
      <w:r w:rsidRPr="00194EF1">
        <w:rPr>
          <w:lang w:val="en-GB"/>
        </w:rPr>
        <w:t xml:space="preserve">, 2012. Nineteenth-century English politeness. In D. </w:t>
      </w:r>
      <w:proofErr w:type="spellStart"/>
      <w:r w:rsidRPr="00194EF1">
        <w:rPr>
          <w:lang w:val="en-GB"/>
        </w:rPr>
        <w:t>Kádár</w:t>
      </w:r>
      <w:proofErr w:type="spellEnd"/>
      <w:r w:rsidRPr="00194EF1">
        <w:rPr>
          <w:lang w:val="en-GB"/>
        </w:rPr>
        <w:t xml:space="preserve"> &amp; M. </w:t>
      </w:r>
      <w:proofErr w:type="spellStart"/>
      <w:r w:rsidRPr="00194EF1">
        <w:rPr>
          <w:lang w:val="en-GB"/>
        </w:rPr>
        <w:t>Bax</w:t>
      </w:r>
      <w:proofErr w:type="spellEnd"/>
      <w:r w:rsidRPr="00194EF1">
        <w:rPr>
          <w:lang w:val="en-GB"/>
        </w:rPr>
        <w:t xml:space="preserve"> (</w:t>
      </w:r>
      <w:proofErr w:type="gramStart"/>
      <w:r w:rsidRPr="00194EF1">
        <w:rPr>
          <w:lang w:val="en-GB"/>
        </w:rPr>
        <w:t>eds</w:t>
      </w:r>
      <w:proofErr w:type="gramEnd"/>
      <w:r w:rsidRPr="00194EF1">
        <w:rPr>
          <w:lang w:val="en-GB"/>
        </w:rPr>
        <w:t xml:space="preserve">.). </w:t>
      </w:r>
      <w:r w:rsidRPr="00194EF1">
        <w:rPr>
          <w:i/>
          <w:lang w:val="en-GB"/>
        </w:rPr>
        <w:t>Understanding Historical (</w:t>
      </w:r>
      <w:proofErr w:type="spellStart"/>
      <w:r w:rsidRPr="00194EF1">
        <w:rPr>
          <w:i/>
          <w:lang w:val="en-GB"/>
        </w:rPr>
        <w:t>Im</w:t>
      </w:r>
      <w:proofErr w:type="spellEnd"/>
      <w:proofErr w:type="gramStart"/>
      <w:r w:rsidRPr="00194EF1">
        <w:rPr>
          <w:i/>
          <w:lang w:val="en-GB"/>
        </w:rPr>
        <w:t>)Politeness</w:t>
      </w:r>
      <w:proofErr w:type="gramEnd"/>
      <w:r w:rsidRPr="00194EF1">
        <w:rPr>
          <w:i/>
          <w:lang w:val="en-GB"/>
        </w:rPr>
        <w:t>. Relational Linguistic Practice over Time and across Cultures</w:t>
      </w:r>
      <w:r w:rsidRPr="00194EF1">
        <w:rPr>
          <w:lang w:val="en-GB"/>
        </w:rPr>
        <w:t xml:space="preserve">. Amsterdam &amp; </w:t>
      </w:r>
      <w:proofErr w:type="spellStart"/>
      <w:r w:rsidRPr="00194EF1">
        <w:rPr>
          <w:lang w:val="en-GB"/>
        </w:rPr>
        <w:t>Phildelphia</w:t>
      </w:r>
      <w:proofErr w:type="spellEnd"/>
      <w:r w:rsidRPr="00194EF1">
        <w:rPr>
          <w:lang w:val="en-GB"/>
        </w:rPr>
        <w:t xml:space="preserve">: John </w:t>
      </w:r>
      <w:proofErr w:type="spellStart"/>
      <w:r w:rsidRPr="00194EF1">
        <w:rPr>
          <w:lang w:val="en-GB"/>
        </w:rPr>
        <w:t>Benjamins</w:t>
      </w:r>
      <w:proofErr w:type="spellEnd"/>
      <w:r w:rsidRPr="00194EF1">
        <w:rPr>
          <w:lang w:val="en-GB"/>
        </w:rPr>
        <w:t xml:space="preserve">. 49-80. </w:t>
      </w:r>
    </w:p>
    <w:p w:rsidR="00A551AB" w:rsidRPr="00194EF1" w:rsidRDefault="00A551AB" w:rsidP="003C4A34">
      <w:pPr>
        <w:ind w:left="360" w:hanging="360"/>
        <w:jc w:val="both"/>
        <w:rPr>
          <w:lang w:val="en-GB"/>
        </w:rPr>
      </w:pPr>
      <w:proofErr w:type="spellStart"/>
      <w:r w:rsidRPr="00194EF1">
        <w:rPr>
          <w:lang w:val="en-GB"/>
        </w:rPr>
        <w:t>Gieszinger</w:t>
      </w:r>
      <w:proofErr w:type="spellEnd"/>
      <w:r w:rsidRPr="00194EF1">
        <w:rPr>
          <w:lang w:val="en-GB"/>
        </w:rPr>
        <w:t xml:space="preserve">, Sabine. 2001. </w:t>
      </w:r>
      <w:r w:rsidRPr="00194EF1">
        <w:rPr>
          <w:i/>
          <w:lang w:val="en-GB"/>
        </w:rPr>
        <w:t xml:space="preserve">The History of Advertising Language: The Advertisements in </w:t>
      </w:r>
      <w:proofErr w:type="gramStart"/>
      <w:r w:rsidRPr="00194EF1">
        <w:rPr>
          <w:lang w:val="en-GB"/>
        </w:rPr>
        <w:t>The</w:t>
      </w:r>
      <w:proofErr w:type="gramEnd"/>
      <w:r w:rsidRPr="00194EF1">
        <w:rPr>
          <w:lang w:val="en-GB"/>
        </w:rPr>
        <w:t xml:space="preserve"> Times</w:t>
      </w:r>
      <w:r w:rsidRPr="00194EF1">
        <w:rPr>
          <w:i/>
          <w:lang w:val="en-GB"/>
        </w:rPr>
        <w:t xml:space="preserve"> from 1788 to 1996</w:t>
      </w:r>
      <w:r w:rsidRPr="00194EF1">
        <w:rPr>
          <w:lang w:val="en-GB"/>
        </w:rPr>
        <w:t>. Frankfurt am Main: Peter Lang.</w:t>
      </w:r>
    </w:p>
    <w:p w:rsidR="00A551AB" w:rsidRPr="00194EF1" w:rsidRDefault="00A551AB" w:rsidP="003C4A34">
      <w:pPr>
        <w:ind w:left="360" w:hanging="360"/>
        <w:jc w:val="both"/>
        <w:rPr>
          <w:lang w:val="en-GB"/>
        </w:rPr>
      </w:pPr>
      <w:proofErr w:type="spellStart"/>
      <w:r w:rsidRPr="00194EF1">
        <w:rPr>
          <w:lang w:val="en-GB"/>
        </w:rPr>
        <w:t>Gotti</w:t>
      </w:r>
      <w:proofErr w:type="spellEnd"/>
      <w:r w:rsidRPr="00194EF1">
        <w:rPr>
          <w:lang w:val="en-GB"/>
        </w:rPr>
        <w:t xml:space="preserve">, Maurizio. 2005. Advertising discourse in 18th-century English newspapers. </w:t>
      </w:r>
      <w:r w:rsidRPr="00194EF1">
        <w:rPr>
          <w:lang w:val="sv-SE"/>
        </w:rPr>
        <w:t xml:space="preserve">In J. </w:t>
      </w:r>
      <w:proofErr w:type="spellStart"/>
      <w:r w:rsidRPr="00194EF1">
        <w:rPr>
          <w:lang w:val="sv-SE"/>
        </w:rPr>
        <w:t>Skaffari</w:t>
      </w:r>
      <w:proofErr w:type="spellEnd"/>
      <w:r w:rsidRPr="00194EF1">
        <w:rPr>
          <w:lang w:val="sv-SE"/>
        </w:rPr>
        <w:t xml:space="preserve">, M. </w:t>
      </w:r>
      <w:proofErr w:type="spellStart"/>
      <w:r w:rsidRPr="00194EF1">
        <w:rPr>
          <w:lang w:val="sv-SE"/>
        </w:rPr>
        <w:t>Peikola</w:t>
      </w:r>
      <w:proofErr w:type="spellEnd"/>
      <w:r w:rsidRPr="00194EF1">
        <w:rPr>
          <w:lang w:val="sv-SE"/>
        </w:rPr>
        <w:t xml:space="preserve">, R. Carroll &amp; R. Hiltunen (eds.). </w:t>
      </w:r>
      <w:r w:rsidRPr="00194EF1">
        <w:rPr>
          <w:i/>
          <w:lang w:val="en-GB"/>
        </w:rPr>
        <w:t>Opening Windows on Texts and Discourses of the Past</w:t>
      </w:r>
      <w:r w:rsidRPr="00194EF1">
        <w:rPr>
          <w:lang w:val="en-GB"/>
        </w:rPr>
        <w:t xml:space="preserve">. Amsterdam: </w:t>
      </w:r>
      <w:proofErr w:type="spellStart"/>
      <w:r w:rsidRPr="00194EF1">
        <w:rPr>
          <w:lang w:val="en-GB"/>
        </w:rPr>
        <w:t>Benjamins</w:t>
      </w:r>
      <w:proofErr w:type="spellEnd"/>
      <w:r w:rsidRPr="00194EF1">
        <w:rPr>
          <w:lang w:val="en-GB"/>
        </w:rPr>
        <w:t>. 23–38</w:t>
      </w:r>
    </w:p>
    <w:p w:rsidR="00A551AB" w:rsidRPr="00194EF1" w:rsidRDefault="00A551AB" w:rsidP="003C4A34">
      <w:pPr>
        <w:ind w:left="360" w:hanging="360"/>
        <w:rPr>
          <w:lang w:val="en-GB"/>
        </w:rPr>
      </w:pPr>
      <w:proofErr w:type="spellStart"/>
      <w:r w:rsidRPr="00194EF1">
        <w:rPr>
          <w:lang w:val="en-GB"/>
        </w:rPr>
        <w:t>Görlach</w:t>
      </w:r>
      <w:proofErr w:type="spellEnd"/>
      <w:r w:rsidRPr="00194EF1">
        <w:rPr>
          <w:lang w:val="en-GB"/>
        </w:rPr>
        <w:t xml:space="preserve">, Manfred. 2002.  A linguistic history of advertising, 1700–1890. In T. </w:t>
      </w:r>
      <w:proofErr w:type="spellStart"/>
      <w:r w:rsidRPr="00194EF1">
        <w:rPr>
          <w:lang w:val="en-GB"/>
        </w:rPr>
        <w:t>Fanego</w:t>
      </w:r>
      <w:proofErr w:type="spellEnd"/>
      <w:r w:rsidRPr="00194EF1">
        <w:rPr>
          <w:lang w:val="en-GB"/>
        </w:rPr>
        <w:t>, B. Méndez-</w:t>
      </w:r>
      <w:proofErr w:type="spellStart"/>
      <w:r w:rsidRPr="00194EF1">
        <w:rPr>
          <w:lang w:val="en-GB"/>
        </w:rPr>
        <w:t>Naya</w:t>
      </w:r>
      <w:proofErr w:type="spellEnd"/>
      <w:r w:rsidRPr="00194EF1">
        <w:rPr>
          <w:lang w:val="en-GB"/>
        </w:rPr>
        <w:t xml:space="preserve"> &amp; E. </w:t>
      </w:r>
      <w:proofErr w:type="spellStart"/>
      <w:r w:rsidRPr="00194EF1">
        <w:rPr>
          <w:lang w:val="en-GB"/>
        </w:rPr>
        <w:t>Seoane</w:t>
      </w:r>
      <w:proofErr w:type="spellEnd"/>
      <w:r w:rsidRPr="00194EF1">
        <w:rPr>
          <w:lang w:val="en-GB"/>
        </w:rPr>
        <w:t xml:space="preserve"> (eds.), </w:t>
      </w:r>
      <w:r w:rsidRPr="00194EF1">
        <w:rPr>
          <w:i/>
          <w:lang w:val="en-GB"/>
        </w:rPr>
        <w:t>Sounds, Words, Texts and Change</w:t>
      </w:r>
      <w:r w:rsidRPr="00194EF1">
        <w:rPr>
          <w:lang w:val="en-GB"/>
        </w:rPr>
        <w:t xml:space="preserve">. Amsterdam: </w:t>
      </w:r>
      <w:proofErr w:type="spellStart"/>
      <w:r w:rsidRPr="00194EF1">
        <w:rPr>
          <w:lang w:val="en-GB"/>
        </w:rPr>
        <w:t>Benjamins</w:t>
      </w:r>
      <w:proofErr w:type="spellEnd"/>
      <w:r w:rsidRPr="00194EF1">
        <w:rPr>
          <w:lang w:val="en-GB"/>
        </w:rPr>
        <w:t>. 83–104.</w:t>
      </w:r>
    </w:p>
    <w:p w:rsidR="00AE116A" w:rsidRPr="00194EF1" w:rsidRDefault="00AE116A" w:rsidP="00AE116A">
      <w:pPr>
        <w:ind w:left="360" w:hanging="360"/>
        <w:jc w:val="both"/>
        <w:rPr>
          <w:lang w:val="en-GB"/>
        </w:rPr>
      </w:pPr>
      <w:proofErr w:type="spellStart"/>
      <w:r w:rsidRPr="00194EF1">
        <w:rPr>
          <w:lang w:val="en-GB"/>
        </w:rPr>
        <w:t>Jucker</w:t>
      </w:r>
      <w:proofErr w:type="spellEnd"/>
      <w:r w:rsidRPr="00194EF1">
        <w:rPr>
          <w:lang w:val="en-GB"/>
        </w:rPr>
        <w:t xml:space="preserve">, Andreas H. 2012. Positive and negative face as descriptive categories in the history of English. In D. </w:t>
      </w:r>
      <w:proofErr w:type="spellStart"/>
      <w:r w:rsidRPr="00194EF1">
        <w:rPr>
          <w:lang w:val="en-GB"/>
        </w:rPr>
        <w:t>Kádár</w:t>
      </w:r>
      <w:proofErr w:type="spellEnd"/>
      <w:r w:rsidRPr="00194EF1">
        <w:rPr>
          <w:lang w:val="en-GB"/>
        </w:rPr>
        <w:t xml:space="preserve"> &amp; M. </w:t>
      </w:r>
      <w:proofErr w:type="spellStart"/>
      <w:r w:rsidRPr="00194EF1">
        <w:rPr>
          <w:lang w:val="en-GB"/>
        </w:rPr>
        <w:t>Bax</w:t>
      </w:r>
      <w:proofErr w:type="spellEnd"/>
      <w:r w:rsidRPr="00194EF1">
        <w:rPr>
          <w:lang w:val="en-GB"/>
        </w:rPr>
        <w:t xml:space="preserve"> (</w:t>
      </w:r>
      <w:proofErr w:type="gramStart"/>
      <w:r w:rsidRPr="00194EF1">
        <w:rPr>
          <w:lang w:val="en-GB"/>
        </w:rPr>
        <w:t>eds</w:t>
      </w:r>
      <w:proofErr w:type="gramEnd"/>
      <w:r w:rsidRPr="00194EF1">
        <w:rPr>
          <w:lang w:val="en-GB"/>
        </w:rPr>
        <w:t xml:space="preserve">.). </w:t>
      </w:r>
      <w:r w:rsidRPr="00194EF1">
        <w:rPr>
          <w:i/>
          <w:lang w:val="en-GB"/>
        </w:rPr>
        <w:t>Understanding Historical (</w:t>
      </w:r>
      <w:proofErr w:type="spellStart"/>
      <w:r w:rsidRPr="00194EF1">
        <w:rPr>
          <w:i/>
          <w:lang w:val="en-GB"/>
        </w:rPr>
        <w:t>Im</w:t>
      </w:r>
      <w:proofErr w:type="spellEnd"/>
      <w:proofErr w:type="gramStart"/>
      <w:r w:rsidRPr="00194EF1">
        <w:rPr>
          <w:i/>
          <w:lang w:val="en-GB"/>
        </w:rPr>
        <w:t>)Politeness</w:t>
      </w:r>
      <w:proofErr w:type="gramEnd"/>
      <w:r w:rsidRPr="00194EF1">
        <w:rPr>
          <w:i/>
          <w:lang w:val="en-GB"/>
        </w:rPr>
        <w:t>. Relational Linguistic Practice over Time and across Cultures</w:t>
      </w:r>
      <w:r w:rsidRPr="00194EF1">
        <w:rPr>
          <w:lang w:val="en-GB"/>
        </w:rPr>
        <w:t xml:space="preserve">. Amsterdam &amp; </w:t>
      </w:r>
      <w:proofErr w:type="spellStart"/>
      <w:r w:rsidRPr="00194EF1">
        <w:rPr>
          <w:lang w:val="en-GB"/>
        </w:rPr>
        <w:t>Phildelphia</w:t>
      </w:r>
      <w:proofErr w:type="spellEnd"/>
      <w:r w:rsidRPr="00194EF1">
        <w:rPr>
          <w:lang w:val="en-GB"/>
        </w:rPr>
        <w:t xml:space="preserve">: John </w:t>
      </w:r>
      <w:proofErr w:type="spellStart"/>
      <w:r w:rsidRPr="00194EF1">
        <w:rPr>
          <w:lang w:val="en-GB"/>
        </w:rPr>
        <w:t>Benjamins</w:t>
      </w:r>
      <w:proofErr w:type="spellEnd"/>
      <w:r w:rsidRPr="00194EF1">
        <w:rPr>
          <w:lang w:val="en-GB"/>
        </w:rPr>
        <w:t xml:space="preserve">. 175-194. </w:t>
      </w:r>
    </w:p>
    <w:p w:rsidR="00544596" w:rsidRPr="00194EF1" w:rsidRDefault="00881958" w:rsidP="003C4A34">
      <w:pPr>
        <w:ind w:left="360" w:hanging="360"/>
        <w:rPr>
          <w:lang w:val="en-GB"/>
        </w:rPr>
      </w:pPr>
      <w:proofErr w:type="spellStart"/>
      <w:r w:rsidRPr="00194EF1">
        <w:rPr>
          <w:lang w:val="en-GB"/>
        </w:rPr>
        <w:t>Jucker</w:t>
      </w:r>
      <w:proofErr w:type="spellEnd"/>
      <w:r w:rsidRPr="00194EF1">
        <w:rPr>
          <w:lang w:val="en-GB"/>
        </w:rPr>
        <w:t>, Andreas H. 201</w:t>
      </w:r>
      <w:r w:rsidR="000E4FB9" w:rsidRPr="00194EF1">
        <w:rPr>
          <w:lang w:val="en-GB"/>
        </w:rPr>
        <w:t>2</w:t>
      </w:r>
      <w:r w:rsidRPr="00194EF1">
        <w:rPr>
          <w:lang w:val="en-GB"/>
        </w:rPr>
        <w:t xml:space="preserve">. Changes in politeness cultures. In T. </w:t>
      </w:r>
      <w:proofErr w:type="spellStart"/>
      <w:r w:rsidRPr="00194EF1">
        <w:rPr>
          <w:lang w:val="en-GB"/>
        </w:rPr>
        <w:t>Nevalainen</w:t>
      </w:r>
      <w:proofErr w:type="spellEnd"/>
      <w:r w:rsidRPr="00194EF1">
        <w:rPr>
          <w:lang w:val="en-GB"/>
        </w:rPr>
        <w:t xml:space="preserve"> &amp; E. </w:t>
      </w:r>
      <w:proofErr w:type="spellStart"/>
      <w:r w:rsidRPr="00194EF1">
        <w:rPr>
          <w:lang w:val="en-GB"/>
        </w:rPr>
        <w:t>Closs</w:t>
      </w:r>
      <w:proofErr w:type="spellEnd"/>
      <w:r w:rsidRPr="00194EF1">
        <w:rPr>
          <w:lang w:val="en-GB"/>
        </w:rPr>
        <w:t xml:space="preserve"> </w:t>
      </w:r>
      <w:proofErr w:type="spellStart"/>
      <w:r w:rsidRPr="00194EF1">
        <w:rPr>
          <w:lang w:val="en-GB"/>
        </w:rPr>
        <w:t>Traugott</w:t>
      </w:r>
      <w:proofErr w:type="spellEnd"/>
      <w:r w:rsidRPr="00194EF1">
        <w:rPr>
          <w:lang w:val="en-GB"/>
        </w:rPr>
        <w:t xml:space="preserve"> (</w:t>
      </w:r>
      <w:proofErr w:type="gramStart"/>
      <w:r w:rsidRPr="00194EF1">
        <w:rPr>
          <w:lang w:val="en-GB"/>
        </w:rPr>
        <w:t>eds</w:t>
      </w:r>
      <w:proofErr w:type="gramEnd"/>
      <w:r w:rsidRPr="00194EF1">
        <w:rPr>
          <w:lang w:val="en-GB"/>
        </w:rPr>
        <w:t xml:space="preserve">.). </w:t>
      </w:r>
      <w:r w:rsidRPr="00194EF1">
        <w:rPr>
          <w:i/>
          <w:lang w:val="en-GB"/>
        </w:rPr>
        <w:t>The Oxford Handbook of the History of English</w:t>
      </w:r>
      <w:r w:rsidRPr="00194EF1">
        <w:rPr>
          <w:lang w:val="en-GB"/>
        </w:rPr>
        <w:t xml:space="preserve">. Oxford: Oxford University Press. 422-433. </w:t>
      </w:r>
    </w:p>
    <w:p w:rsidR="00881958" w:rsidRPr="00194EF1" w:rsidRDefault="00881958" w:rsidP="003C4A34">
      <w:pPr>
        <w:ind w:left="360" w:hanging="360"/>
        <w:rPr>
          <w:lang w:val="en-GB"/>
        </w:rPr>
      </w:pPr>
      <w:proofErr w:type="spellStart"/>
      <w:r w:rsidRPr="00194EF1">
        <w:lastRenderedPageBreak/>
        <w:t>Kádár</w:t>
      </w:r>
      <w:proofErr w:type="spellEnd"/>
      <w:r w:rsidRPr="00194EF1">
        <w:t>, Daniel &amp; Jonathan Culpeper. 2010. Historical (</w:t>
      </w:r>
      <w:proofErr w:type="spellStart"/>
      <w:r w:rsidRPr="00194EF1">
        <w:t>im</w:t>
      </w:r>
      <w:proofErr w:type="spellEnd"/>
      <w:proofErr w:type="gramStart"/>
      <w:r w:rsidRPr="00194EF1">
        <w:t>)politeness</w:t>
      </w:r>
      <w:proofErr w:type="gramEnd"/>
      <w:r w:rsidRPr="00194EF1">
        <w:t xml:space="preserve">: An introduction. In J. Culpeper &amp; D. </w:t>
      </w:r>
      <w:proofErr w:type="spellStart"/>
      <w:r w:rsidRPr="00194EF1">
        <w:t>Kádár</w:t>
      </w:r>
      <w:proofErr w:type="spellEnd"/>
      <w:r w:rsidRPr="00194EF1">
        <w:t xml:space="preserve"> (</w:t>
      </w:r>
      <w:proofErr w:type="gramStart"/>
      <w:r w:rsidRPr="00194EF1">
        <w:t>eds</w:t>
      </w:r>
      <w:proofErr w:type="gramEnd"/>
      <w:r w:rsidRPr="00194EF1">
        <w:t xml:space="preserve">.). </w:t>
      </w:r>
      <w:r w:rsidRPr="00194EF1">
        <w:rPr>
          <w:i/>
        </w:rPr>
        <w:t>Historical (</w:t>
      </w:r>
      <w:proofErr w:type="spellStart"/>
      <w:r w:rsidRPr="00194EF1">
        <w:rPr>
          <w:i/>
        </w:rPr>
        <w:t>Im</w:t>
      </w:r>
      <w:proofErr w:type="spellEnd"/>
      <w:proofErr w:type="gramStart"/>
      <w:r w:rsidRPr="00194EF1">
        <w:rPr>
          <w:i/>
        </w:rPr>
        <w:t>)Politeness</w:t>
      </w:r>
      <w:proofErr w:type="gramEnd"/>
      <w:r w:rsidRPr="00194EF1">
        <w:t>. Bern etc.: Peter Lang. 9-36.</w:t>
      </w:r>
    </w:p>
    <w:p w:rsidR="00A551AB" w:rsidRPr="00194EF1" w:rsidRDefault="00A551AB" w:rsidP="003C4A34">
      <w:pPr>
        <w:ind w:left="360" w:hanging="360"/>
        <w:rPr>
          <w:lang w:val="en-GB"/>
        </w:rPr>
      </w:pPr>
      <w:proofErr w:type="spellStart"/>
      <w:r w:rsidRPr="00194EF1">
        <w:rPr>
          <w:lang w:val="en-GB"/>
        </w:rPr>
        <w:t>Layder</w:t>
      </w:r>
      <w:proofErr w:type="spellEnd"/>
      <w:r w:rsidRPr="00194EF1">
        <w:rPr>
          <w:lang w:val="en-GB"/>
        </w:rPr>
        <w:t xml:space="preserve">, Derek. 1997. </w:t>
      </w:r>
      <w:r w:rsidRPr="00194EF1">
        <w:rPr>
          <w:i/>
          <w:lang w:val="en-GB"/>
        </w:rPr>
        <w:t>Modern social theory: Key debates and new directions</w:t>
      </w:r>
      <w:r w:rsidRPr="00194EF1">
        <w:rPr>
          <w:lang w:val="en-GB"/>
        </w:rPr>
        <w:t>. London: Routledge.</w:t>
      </w:r>
    </w:p>
    <w:p w:rsidR="00AF61A1" w:rsidRPr="00194EF1" w:rsidRDefault="00AF61A1" w:rsidP="00AF61A1">
      <w:pPr>
        <w:ind w:left="567" w:hanging="567"/>
        <w:rPr>
          <w:b/>
          <w:bCs/>
        </w:rPr>
      </w:pPr>
      <w:r w:rsidRPr="00194EF1">
        <w:t xml:space="preserve">Levinson, Stephen C. 2007. Optimizing person reference: Perspectives from usage on </w:t>
      </w:r>
      <w:proofErr w:type="spellStart"/>
      <w:r w:rsidRPr="00194EF1">
        <w:t>Rossel</w:t>
      </w:r>
      <w:proofErr w:type="spellEnd"/>
      <w:r w:rsidRPr="00194EF1">
        <w:t xml:space="preserve"> Island. In N.J. Enfield &amp; Tanya </w:t>
      </w:r>
      <w:proofErr w:type="spellStart"/>
      <w:r w:rsidRPr="00194EF1">
        <w:t>Stivers</w:t>
      </w:r>
      <w:proofErr w:type="spellEnd"/>
      <w:r w:rsidRPr="00194EF1">
        <w:t xml:space="preserve"> (eds.), </w:t>
      </w:r>
      <w:hyperlink r:id="rId11" w:tgtFrame="_blank" w:history="1">
        <w:r w:rsidRPr="00194EF1">
          <w:rPr>
            <w:rStyle w:val="Hyperlink"/>
            <w:bCs/>
            <w:i/>
          </w:rPr>
          <w:t>Person reference in interaction: Linguistic, cultural, and social perspectives</w:t>
        </w:r>
      </w:hyperlink>
      <w:r w:rsidRPr="00194EF1">
        <w:rPr>
          <w:bCs/>
        </w:rPr>
        <w:t>,</w:t>
      </w:r>
      <w:r w:rsidRPr="00194EF1">
        <w:t xml:space="preserve"> 29–72. Cambridge: Cambridge University Press. </w:t>
      </w:r>
    </w:p>
    <w:p w:rsidR="00AF61A1" w:rsidRPr="00194EF1" w:rsidRDefault="00AF61A1" w:rsidP="00AF61A1">
      <w:pPr>
        <w:ind w:left="567" w:hanging="567"/>
      </w:pPr>
      <w:r w:rsidRPr="00194EF1">
        <w:t xml:space="preserve">Lund, J. V. 1947. </w:t>
      </w:r>
      <w:r w:rsidRPr="00194EF1">
        <w:rPr>
          <w:i/>
        </w:rPr>
        <w:t>Newspaper advertising</w:t>
      </w:r>
      <w:r w:rsidRPr="00194EF1">
        <w:t>. New York: Prentice-Hall.</w:t>
      </w:r>
    </w:p>
    <w:p w:rsidR="00AF61A1" w:rsidRPr="00194EF1" w:rsidRDefault="00AF61A1" w:rsidP="00AF61A1">
      <w:pPr>
        <w:ind w:left="567" w:hanging="567"/>
      </w:pPr>
      <w:proofErr w:type="spellStart"/>
      <w:r w:rsidRPr="00194EF1">
        <w:t>Mühlhäusler</w:t>
      </w:r>
      <w:proofErr w:type="spellEnd"/>
      <w:r w:rsidRPr="00194EF1">
        <w:t xml:space="preserve">, Peter &amp; Rom </w:t>
      </w:r>
      <w:proofErr w:type="spellStart"/>
      <w:r w:rsidRPr="00194EF1">
        <w:t>Harré</w:t>
      </w:r>
      <w:proofErr w:type="spellEnd"/>
      <w:r w:rsidRPr="00194EF1">
        <w:t xml:space="preserve">. 1990. </w:t>
      </w:r>
      <w:r w:rsidRPr="00194EF1">
        <w:rPr>
          <w:i/>
        </w:rPr>
        <w:t>Pronouns and people: The linguistic construction of social and personal identity</w:t>
      </w:r>
      <w:r w:rsidRPr="00194EF1">
        <w:t>. Oxford: Basil Blackwell.</w:t>
      </w:r>
    </w:p>
    <w:p w:rsidR="008A1A00" w:rsidRPr="00194EF1" w:rsidRDefault="008A1A00" w:rsidP="008A1A00">
      <w:pPr>
        <w:ind w:left="567" w:hanging="567"/>
      </w:pPr>
      <w:r w:rsidRPr="00194EF1">
        <w:t xml:space="preserve">Palander-Collin, Minna. Forthcoming/2015. Changing genre conventions and sociocultural change. Person-mention in 19th-century English advertisements. In B. </w:t>
      </w:r>
      <w:proofErr w:type="spellStart"/>
      <w:r w:rsidRPr="00194EF1">
        <w:t>Bös</w:t>
      </w:r>
      <w:proofErr w:type="spellEnd"/>
      <w:r w:rsidRPr="00194EF1">
        <w:t xml:space="preserve"> </w:t>
      </w:r>
      <w:r w:rsidR="006078D5" w:rsidRPr="00194EF1">
        <w:t xml:space="preserve">&amp; L. </w:t>
      </w:r>
      <w:proofErr w:type="spellStart"/>
      <w:r w:rsidR="006078D5" w:rsidRPr="00194EF1">
        <w:t>Kornexl</w:t>
      </w:r>
      <w:proofErr w:type="spellEnd"/>
      <w:r w:rsidR="006078D5" w:rsidRPr="00194EF1">
        <w:t xml:space="preserve"> (</w:t>
      </w:r>
      <w:proofErr w:type="gramStart"/>
      <w:r w:rsidR="006078D5" w:rsidRPr="00194EF1">
        <w:t>eds</w:t>
      </w:r>
      <w:proofErr w:type="gramEnd"/>
      <w:r w:rsidR="006078D5" w:rsidRPr="00194EF1">
        <w:t xml:space="preserve">.). </w:t>
      </w:r>
      <w:r w:rsidR="006078D5" w:rsidRPr="00194EF1">
        <w:rPr>
          <w:i/>
        </w:rPr>
        <w:t>Changing Genre Conventions in Historical News Discourse</w:t>
      </w:r>
      <w:r w:rsidR="006078D5" w:rsidRPr="00194EF1">
        <w:t xml:space="preserve">. Amsterdam: </w:t>
      </w:r>
      <w:proofErr w:type="spellStart"/>
      <w:r w:rsidR="006078D5" w:rsidRPr="00194EF1">
        <w:t>Benjamins</w:t>
      </w:r>
      <w:proofErr w:type="spellEnd"/>
      <w:r w:rsidR="006078D5" w:rsidRPr="00194EF1">
        <w:t xml:space="preserve">. </w:t>
      </w:r>
      <w:r w:rsidR="000E2F42" w:rsidRPr="00194EF1">
        <w:t>81-102.</w:t>
      </w:r>
    </w:p>
    <w:p w:rsidR="00544596" w:rsidRPr="00194EF1" w:rsidRDefault="00A551AB" w:rsidP="003C4A34">
      <w:pPr>
        <w:ind w:left="360" w:hanging="360"/>
        <w:jc w:val="both"/>
        <w:rPr>
          <w:lang w:val="en-GB"/>
        </w:rPr>
      </w:pPr>
      <w:r w:rsidRPr="00194EF1">
        <w:rPr>
          <w:lang w:val="en-GB"/>
        </w:rPr>
        <w:t xml:space="preserve">Rappaport, Erika Diane. 2000. </w:t>
      </w:r>
      <w:r w:rsidRPr="00194EF1">
        <w:rPr>
          <w:i/>
          <w:lang w:val="en-GB"/>
        </w:rPr>
        <w:t>Shopping for Pleasure. Women in the Making of London’s West End</w:t>
      </w:r>
      <w:r w:rsidRPr="00194EF1">
        <w:rPr>
          <w:lang w:val="en-GB"/>
        </w:rPr>
        <w:t>. Princeton, New Jersey: Princeton University Press.</w:t>
      </w:r>
    </w:p>
    <w:p w:rsidR="00AF61A1" w:rsidRPr="00194EF1" w:rsidRDefault="00AF61A1" w:rsidP="00AF61A1">
      <w:pPr>
        <w:ind w:left="567" w:hanging="567"/>
      </w:pPr>
      <w:r w:rsidRPr="00194EF1">
        <w:t xml:space="preserve">Richards, Thomas. 1990. </w:t>
      </w:r>
      <w:r w:rsidRPr="00194EF1">
        <w:rPr>
          <w:i/>
        </w:rPr>
        <w:t xml:space="preserve">The </w:t>
      </w:r>
      <w:r w:rsidR="00732379" w:rsidRPr="00194EF1">
        <w:rPr>
          <w:i/>
        </w:rPr>
        <w:t>C</w:t>
      </w:r>
      <w:r w:rsidRPr="00194EF1">
        <w:rPr>
          <w:i/>
        </w:rPr>
        <w:t xml:space="preserve">ommodity </w:t>
      </w:r>
      <w:r w:rsidR="00732379" w:rsidRPr="00194EF1">
        <w:rPr>
          <w:i/>
        </w:rPr>
        <w:t>C</w:t>
      </w:r>
      <w:r w:rsidRPr="00194EF1">
        <w:rPr>
          <w:i/>
        </w:rPr>
        <w:t xml:space="preserve">ulture of Victorian England: Advertising and </w:t>
      </w:r>
      <w:r w:rsidR="00732379" w:rsidRPr="00194EF1">
        <w:rPr>
          <w:i/>
        </w:rPr>
        <w:t>S</w:t>
      </w:r>
      <w:r w:rsidRPr="00194EF1">
        <w:rPr>
          <w:i/>
        </w:rPr>
        <w:t>pectacle, 1851</w:t>
      </w:r>
      <w:r w:rsidRPr="00194EF1">
        <w:t>–</w:t>
      </w:r>
      <w:r w:rsidRPr="00194EF1">
        <w:rPr>
          <w:i/>
        </w:rPr>
        <w:t>1914</w:t>
      </w:r>
      <w:r w:rsidRPr="00194EF1">
        <w:t xml:space="preserve">. Stanford, California: Stanford University Press. </w:t>
      </w:r>
      <w:hyperlink r:id="rId12" w:history="1">
        <w:r w:rsidRPr="00194EF1">
          <w:rPr>
            <w:rStyle w:val="Hyperlink"/>
          </w:rPr>
          <w:t>http://www.sup.org/book.cgi?id=3018</w:t>
        </w:r>
      </w:hyperlink>
      <w:r w:rsidRPr="00194EF1">
        <w:t xml:space="preserve">. (15 February, 2013) </w:t>
      </w:r>
    </w:p>
    <w:p w:rsidR="00AF61A1" w:rsidRPr="00194EF1" w:rsidRDefault="00AF61A1" w:rsidP="00AF61A1">
      <w:pPr>
        <w:ind w:left="567" w:hanging="567"/>
        <w:rPr>
          <w:b/>
          <w:bCs/>
        </w:rPr>
      </w:pPr>
      <w:r w:rsidRPr="00194EF1">
        <w:t xml:space="preserve">Sacks, Harvey &amp; Emanuel A. </w:t>
      </w:r>
      <w:proofErr w:type="spellStart"/>
      <w:r w:rsidRPr="00194EF1">
        <w:t>Schegloff</w:t>
      </w:r>
      <w:proofErr w:type="spellEnd"/>
      <w:r w:rsidRPr="00194EF1">
        <w:t xml:space="preserve">. 2007. Two preferences in the organization of reference to persons in conversation and their interaction. In N.J. Enfield &amp; Tanya </w:t>
      </w:r>
      <w:proofErr w:type="spellStart"/>
      <w:r w:rsidRPr="00194EF1">
        <w:t>Stivers</w:t>
      </w:r>
      <w:proofErr w:type="spellEnd"/>
      <w:r w:rsidRPr="00194EF1">
        <w:t xml:space="preserve"> (eds.), </w:t>
      </w:r>
      <w:hyperlink r:id="rId13" w:tgtFrame="_blank" w:history="1">
        <w:r w:rsidRPr="00194EF1">
          <w:rPr>
            <w:rStyle w:val="Hyperlink"/>
            <w:bCs/>
            <w:i/>
          </w:rPr>
          <w:t>Person reference in interaction: Linguistic, cultural, and social perspectives</w:t>
        </w:r>
      </w:hyperlink>
      <w:r w:rsidRPr="00194EF1">
        <w:rPr>
          <w:bCs/>
        </w:rPr>
        <w:t>,</w:t>
      </w:r>
      <w:r w:rsidRPr="00194EF1">
        <w:t xml:space="preserve"> 23–28. Cambridge: Cambridge University Press. </w:t>
      </w:r>
    </w:p>
    <w:p w:rsidR="00AF61A1" w:rsidRPr="00194EF1" w:rsidRDefault="00AF61A1" w:rsidP="00AF61A1">
      <w:pPr>
        <w:ind w:left="567" w:hanging="567"/>
      </w:pPr>
      <w:proofErr w:type="spellStart"/>
      <w:r w:rsidRPr="00194EF1">
        <w:t>Schegloff</w:t>
      </w:r>
      <w:proofErr w:type="spellEnd"/>
      <w:r w:rsidRPr="00194EF1">
        <w:t xml:space="preserve">, Emanuel A. 2007. Categories in action: Person-reference and membership categorization. </w:t>
      </w:r>
      <w:r w:rsidRPr="00194EF1">
        <w:rPr>
          <w:i/>
        </w:rPr>
        <w:t>Discourse Studies</w:t>
      </w:r>
      <w:r w:rsidRPr="00194EF1">
        <w:t xml:space="preserve"> 9. 433–462.</w:t>
      </w:r>
    </w:p>
    <w:p w:rsidR="00C70D79" w:rsidRPr="00194EF1" w:rsidRDefault="00C70D79" w:rsidP="00C70D79">
      <w:pPr>
        <w:ind w:left="567" w:hanging="567"/>
      </w:pPr>
      <w:r w:rsidRPr="00194EF1">
        <w:t xml:space="preserve">Schwarzkopf, Stefan. 2008. Creativity, capital and tacit knowledge. </w:t>
      </w:r>
      <w:r w:rsidRPr="00194EF1">
        <w:rPr>
          <w:i/>
        </w:rPr>
        <w:t>Journal of Cultural Economy</w:t>
      </w:r>
      <w:r w:rsidRPr="00194EF1">
        <w:t xml:space="preserve"> 1 (2) 181-197.</w:t>
      </w:r>
    </w:p>
    <w:p w:rsidR="00AF61A1" w:rsidRPr="00194EF1" w:rsidRDefault="00AF61A1" w:rsidP="00AF61A1">
      <w:pPr>
        <w:ind w:left="567" w:hanging="567"/>
      </w:pPr>
      <w:proofErr w:type="spellStart"/>
      <w:r w:rsidRPr="00194EF1">
        <w:t>Siewierska</w:t>
      </w:r>
      <w:proofErr w:type="spellEnd"/>
      <w:r w:rsidRPr="00194EF1">
        <w:t xml:space="preserve">, Anna. 2004. </w:t>
      </w:r>
      <w:r w:rsidRPr="00194EF1">
        <w:rPr>
          <w:i/>
        </w:rPr>
        <w:t>Person</w:t>
      </w:r>
      <w:r w:rsidRPr="00194EF1">
        <w:t>. Cambridge: Cambridge University Press.</w:t>
      </w:r>
    </w:p>
    <w:p w:rsidR="00AF61A1" w:rsidRPr="00194EF1" w:rsidRDefault="00AF61A1" w:rsidP="00AF61A1">
      <w:pPr>
        <w:ind w:left="567" w:hanging="567"/>
      </w:pPr>
      <w:proofErr w:type="spellStart"/>
      <w:r w:rsidRPr="00194EF1">
        <w:t>Stievers</w:t>
      </w:r>
      <w:proofErr w:type="spellEnd"/>
      <w:r w:rsidRPr="00194EF1">
        <w:t xml:space="preserve">, Tanja, N. J. Enfield &amp; Stephen C. Levinson. 2007. Person reference in interaction. In N. J. Enfield &amp; T. </w:t>
      </w:r>
      <w:proofErr w:type="spellStart"/>
      <w:r w:rsidRPr="00194EF1">
        <w:t>Stievers</w:t>
      </w:r>
      <w:proofErr w:type="spellEnd"/>
      <w:r w:rsidRPr="00194EF1">
        <w:t xml:space="preserve"> (eds.), </w:t>
      </w:r>
      <w:r w:rsidRPr="00194EF1">
        <w:rPr>
          <w:i/>
        </w:rPr>
        <w:t xml:space="preserve">Person reference in interaction: Linguistic, cultural and social </w:t>
      </w:r>
      <w:r w:rsidRPr="00194EF1">
        <w:t>perspectives, 1–18. Cambridge: Cambridge University Press. http://www.sscnet.ucla.edu/soc/faculty/stivers/Publications_files/PR_Introduction.pdf. (21 February, 2013)</w:t>
      </w:r>
    </w:p>
    <w:p w:rsidR="00AF61A1" w:rsidRPr="00194EF1" w:rsidRDefault="00AF61A1" w:rsidP="00AF61A1">
      <w:pPr>
        <w:ind w:left="567" w:hanging="567"/>
      </w:pPr>
      <w:proofErr w:type="spellStart"/>
      <w:r w:rsidRPr="00194EF1">
        <w:t>Taavitsainen</w:t>
      </w:r>
      <w:proofErr w:type="spellEnd"/>
      <w:r w:rsidRPr="00194EF1">
        <w:t xml:space="preserve">, Irma. 2001. Changing conventions of writing: The dynamics of genres, text types, and text traditions. </w:t>
      </w:r>
      <w:r w:rsidRPr="00194EF1">
        <w:rPr>
          <w:i/>
        </w:rPr>
        <w:t>European Journal of English Studies</w:t>
      </w:r>
      <w:r w:rsidRPr="00194EF1">
        <w:t xml:space="preserve"> 5 (2): 139–150. </w:t>
      </w:r>
    </w:p>
    <w:p w:rsidR="00AF61A1" w:rsidRPr="00194EF1" w:rsidRDefault="00AF61A1" w:rsidP="00AF61A1">
      <w:pPr>
        <w:ind w:left="567" w:hanging="567"/>
      </w:pPr>
      <w:r w:rsidRPr="00194EF1">
        <w:rPr>
          <w:i/>
        </w:rPr>
        <w:t>The History of the Times</w:t>
      </w:r>
      <w:r w:rsidRPr="00194EF1">
        <w:t xml:space="preserve">. 1935, 1939. Part 1: The </w:t>
      </w:r>
      <w:proofErr w:type="spellStart"/>
      <w:r w:rsidRPr="00194EF1">
        <w:t>thunderer</w:t>
      </w:r>
      <w:proofErr w:type="spellEnd"/>
      <w:r w:rsidRPr="00194EF1">
        <w:t xml:space="preserve"> in the making 1785–1841. Part 2: The tradition established. London: Written, printed and published at the Office of The Times.</w:t>
      </w:r>
    </w:p>
    <w:p w:rsidR="00AF61A1" w:rsidRPr="00194EF1" w:rsidRDefault="00AF61A1" w:rsidP="00AF61A1">
      <w:pPr>
        <w:ind w:left="567" w:hanging="567"/>
      </w:pPr>
      <w:r w:rsidRPr="00194EF1">
        <w:rPr>
          <w:i/>
        </w:rPr>
        <w:t>The 19</w:t>
      </w:r>
      <w:r w:rsidRPr="00194EF1">
        <w:rPr>
          <w:i/>
          <w:vertAlign w:val="superscript"/>
        </w:rPr>
        <w:t>th</w:t>
      </w:r>
      <w:r w:rsidRPr="00194EF1">
        <w:rPr>
          <w:i/>
        </w:rPr>
        <w:t xml:space="preserve"> century British Library Newspapers. </w:t>
      </w:r>
      <w:r w:rsidRPr="00194EF1">
        <w:t>Gale Cengage.</w:t>
      </w:r>
    </w:p>
    <w:p w:rsidR="00AF61A1" w:rsidRPr="00194EF1" w:rsidRDefault="00AF61A1" w:rsidP="00AF61A1">
      <w:pPr>
        <w:ind w:left="567" w:hanging="567"/>
        <w:rPr>
          <w:lang w:val="de-DE"/>
        </w:rPr>
      </w:pPr>
      <w:r w:rsidRPr="00194EF1">
        <w:rPr>
          <w:i/>
        </w:rPr>
        <w:t>The Times Digital Archive 1785–1985</w:t>
      </w:r>
      <w:r w:rsidRPr="00194EF1">
        <w:t xml:space="preserve">. </w:t>
      </w:r>
      <w:r w:rsidRPr="00194EF1">
        <w:rPr>
          <w:lang w:val="de-DE"/>
        </w:rPr>
        <w:t xml:space="preserve">Thomson Gale. </w:t>
      </w:r>
    </w:p>
    <w:p w:rsidR="00F15C20" w:rsidRPr="00194EF1" w:rsidRDefault="00881958" w:rsidP="00F14D4E">
      <w:pPr>
        <w:ind w:left="567" w:hanging="567"/>
        <w:rPr>
          <w:lang w:val="de-DE"/>
        </w:rPr>
      </w:pPr>
      <w:r w:rsidRPr="00194EF1">
        <w:t xml:space="preserve">Woods, Robert. 1995. </w:t>
      </w:r>
      <w:r w:rsidRPr="00194EF1">
        <w:rPr>
          <w:i/>
        </w:rPr>
        <w:t>The Population of Britain in the Nineteenth Century</w:t>
      </w:r>
      <w:r w:rsidRPr="00194EF1">
        <w:t>. Cambridge: Cambridge University Press.</w:t>
      </w:r>
    </w:p>
    <w:sectPr w:rsidR="00F15C20" w:rsidRPr="00194EF1" w:rsidSect="00732379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CE" w:rsidRDefault="00F219CE" w:rsidP="00F219CE">
      <w:r>
        <w:separator/>
      </w:r>
    </w:p>
  </w:endnote>
  <w:endnote w:type="continuationSeparator" w:id="0">
    <w:p w:rsidR="00F219CE" w:rsidRDefault="00F219CE" w:rsidP="00F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CE" w:rsidRPr="00F219CE" w:rsidRDefault="00F219CE">
    <w:pPr>
      <w:pStyle w:val="Footer"/>
    </w:pPr>
    <w:r w:rsidRPr="00F219CE">
      <w:tab/>
    </w:r>
    <w:r w:rsidRPr="00F219CE">
      <w:tab/>
    </w:r>
    <w:proofErr w:type="spellStart"/>
    <w:r w:rsidRPr="00F219CE">
      <w:t>IPrA</w:t>
    </w:r>
    <w:proofErr w:type="spellEnd"/>
    <w:r w:rsidRPr="00F219CE">
      <w:t xml:space="preserve"> Con</w:t>
    </w:r>
    <w:r>
      <w:t>ference, Antwerp, 26-31 July,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CE" w:rsidRDefault="00F219CE" w:rsidP="00F219CE">
      <w:r>
        <w:separator/>
      </w:r>
    </w:p>
  </w:footnote>
  <w:footnote w:type="continuationSeparator" w:id="0">
    <w:p w:rsidR="00F219CE" w:rsidRDefault="00F219CE" w:rsidP="00F2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CE" w:rsidRDefault="00F219CE">
    <w:pPr>
      <w:pStyle w:val="Header"/>
      <w:jc w:val="right"/>
    </w:pPr>
  </w:p>
  <w:p w:rsidR="00F219CE" w:rsidRDefault="00F21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E71"/>
    <w:multiLevelType w:val="hybridMultilevel"/>
    <w:tmpl w:val="AD8EB3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CEF"/>
    <w:multiLevelType w:val="hybridMultilevel"/>
    <w:tmpl w:val="B65C8512"/>
    <w:lvl w:ilvl="0" w:tplc="DC1E2D2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37EB1"/>
    <w:multiLevelType w:val="hybridMultilevel"/>
    <w:tmpl w:val="538E0172"/>
    <w:lvl w:ilvl="0" w:tplc="623E6E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E4886"/>
    <w:multiLevelType w:val="hybridMultilevel"/>
    <w:tmpl w:val="F594FA90"/>
    <w:lvl w:ilvl="0" w:tplc="DC1E2D2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5BF6"/>
    <w:multiLevelType w:val="hybridMultilevel"/>
    <w:tmpl w:val="07BAB64C"/>
    <w:lvl w:ilvl="0" w:tplc="040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6683"/>
    <w:multiLevelType w:val="hybridMultilevel"/>
    <w:tmpl w:val="21A07B44"/>
    <w:lvl w:ilvl="0" w:tplc="63562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6CBE"/>
    <w:multiLevelType w:val="hybridMultilevel"/>
    <w:tmpl w:val="CBEE1B88"/>
    <w:lvl w:ilvl="0" w:tplc="EC0285E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D"/>
    <w:rsid w:val="000034FC"/>
    <w:rsid w:val="00011539"/>
    <w:rsid w:val="00012A18"/>
    <w:rsid w:val="00021A5D"/>
    <w:rsid w:val="00024762"/>
    <w:rsid w:val="00043D2C"/>
    <w:rsid w:val="00055207"/>
    <w:rsid w:val="00062167"/>
    <w:rsid w:val="0007182A"/>
    <w:rsid w:val="00076DB3"/>
    <w:rsid w:val="00081861"/>
    <w:rsid w:val="00094257"/>
    <w:rsid w:val="000956E6"/>
    <w:rsid w:val="000B3CCA"/>
    <w:rsid w:val="000B66DA"/>
    <w:rsid w:val="000C1954"/>
    <w:rsid w:val="000C2FE5"/>
    <w:rsid w:val="000C50C3"/>
    <w:rsid w:val="000C738F"/>
    <w:rsid w:val="000D5A54"/>
    <w:rsid w:val="000E2F42"/>
    <w:rsid w:val="000E4FB9"/>
    <w:rsid w:val="000F7EF8"/>
    <w:rsid w:val="001233D1"/>
    <w:rsid w:val="0014764F"/>
    <w:rsid w:val="00147EEF"/>
    <w:rsid w:val="00173A93"/>
    <w:rsid w:val="00193164"/>
    <w:rsid w:val="00194EF1"/>
    <w:rsid w:val="00197838"/>
    <w:rsid w:val="001A7092"/>
    <w:rsid w:val="001B0DC4"/>
    <w:rsid w:val="001B1BEC"/>
    <w:rsid w:val="001C09D4"/>
    <w:rsid w:val="001F6760"/>
    <w:rsid w:val="00200D56"/>
    <w:rsid w:val="00214522"/>
    <w:rsid w:val="00224567"/>
    <w:rsid w:val="002316CB"/>
    <w:rsid w:val="00234146"/>
    <w:rsid w:val="00245065"/>
    <w:rsid w:val="0024691F"/>
    <w:rsid w:val="002533D1"/>
    <w:rsid w:val="002551D9"/>
    <w:rsid w:val="00260E65"/>
    <w:rsid w:val="00264F4B"/>
    <w:rsid w:val="00271C6B"/>
    <w:rsid w:val="002851BD"/>
    <w:rsid w:val="00286E87"/>
    <w:rsid w:val="002A46B7"/>
    <w:rsid w:val="002A78A7"/>
    <w:rsid w:val="002B5D8A"/>
    <w:rsid w:val="002C1ACD"/>
    <w:rsid w:val="002C6E42"/>
    <w:rsid w:val="002D2A1E"/>
    <w:rsid w:val="002D79A5"/>
    <w:rsid w:val="002E2A38"/>
    <w:rsid w:val="002E2A5E"/>
    <w:rsid w:val="002E55BA"/>
    <w:rsid w:val="00311BCE"/>
    <w:rsid w:val="00317A99"/>
    <w:rsid w:val="00322DA4"/>
    <w:rsid w:val="00323C41"/>
    <w:rsid w:val="003270EF"/>
    <w:rsid w:val="00334C6D"/>
    <w:rsid w:val="003403CF"/>
    <w:rsid w:val="00342410"/>
    <w:rsid w:val="00382FE0"/>
    <w:rsid w:val="00390926"/>
    <w:rsid w:val="003B078B"/>
    <w:rsid w:val="003C329D"/>
    <w:rsid w:val="003C4A34"/>
    <w:rsid w:val="003C74A8"/>
    <w:rsid w:val="003D18FB"/>
    <w:rsid w:val="003D49AE"/>
    <w:rsid w:val="003D4F0E"/>
    <w:rsid w:val="003D6B90"/>
    <w:rsid w:val="004248CB"/>
    <w:rsid w:val="0043696A"/>
    <w:rsid w:val="00437414"/>
    <w:rsid w:val="00441613"/>
    <w:rsid w:val="004534A6"/>
    <w:rsid w:val="00460AAB"/>
    <w:rsid w:val="00460C3A"/>
    <w:rsid w:val="00492254"/>
    <w:rsid w:val="00496402"/>
    <w:rsid w:val="004D7E91"/>
    <w:rsid w:val="004E0401"/>
    <w:rsid w:val="004E6862"/>
    <w:rsid w:val="004F0919"/>
    <w:rsid w:val="004F4F11"/>
    <w:rsid w:val="00501BE3"/>
    <w:rsid w:val="00501D1A"/>
    <w:rsid w:val="005042E2"/>
    <w:rsid w:val="0052141B"/>
    <w:rsid w:val="00522B8E"/>
    <w:rsid w:val="00527560"/>
    <w:rsid w:val="00544596"/>
    <w:rsid w:val="00555D6D"/>
    <w:rsid w:val="00563DCA"/>
    <w:rsid w:val="00582A7D"/>
    <w:rsid w:val="005A341D"/>
    <w:rsid w:val="005B004C"/>
    <w:rsid w:val="005B5724"/>
    <w:rsid w:val="005D5DF4"/>
    <w:rsid w:val="005E0C6F"/>
    <w:rsid w:val="005E4B0E"/>
    <w:rsid w:val="00605D99"/>
    <w:rsid w:val="006078D5"/>
    <w:rsid w:val="00624063"/>
    <w:rsid w:val="006304C2"/>
    <w:rsid w:val="006304ED"/>
    <w:rsid w:val="00631D9C"/>
    <w:rsid w:val="00632040"/>
    <w:rsid w:val="00641493"/>
    <w:rsid w:val="00642ACA"/>
    <w:rsid w:val="00645C8A"/>
    <w:rsid w:val="00675B44"/>
    <w:rsid w:val="00682796"/>
    <w:rsid w:val="006854E7"/>
    <w:rsid w:val="006906F7"/>
    <w:rsid w:val="006A1906"/>
    <w:rsid w:val="006D1D03"/>
    <w:rsid w:val="006D4E61"/>
    <w:rsid w:val="006D617D"/>
    <w:rsid w:val="006E11A9"/>
    <w:rsid w:val="006E26F5"/>
    <w:rsid w:val="006E72F5"/>
    <w:rsid w:val="006F3CC9"/>
    <w:rsid w:val="006F48D3"/>
    <w:rsid w:val="007034C7"/>
    <w:rsid w:val="00704506"/>
    <w:rsid w:val="007067A9"/>
    <w:rsid w:val="007070FD"/>
    <w:rsid w:val="00716B5D"/>
    <w:rsid w:val="007230E8"/>
    <w:rsid w:val="00732379"/>
    <w:rsid w:val="00753FD7"/>
    <w:rsid w:val="0076389C"/>
    <w:rsid w:val="00782365"/>
    <w:rsid w:val="00786792"/>
    <w:rsid w:val="007A2F83"/>
    <w:rsid w:val="007B56C0"/>
    <w:rsid w:val="007D145E"/>
    <w:rsid w:val="007F3733"/>
    <w:rsid w:val="00811BA9"/>
    <w:rsid w:val="00831067"/>
    <w:rsid w:val="00835E96"/>
    <w:rsid w:val="00844042"/>
    <w:rsid w:val="00855838"/>
    <w:rsid w:val="00856CC1"/>
    <w:rsid w:val="00856F2B"/>
    <w:rsid w:val="00864ADC"/>
    <w:rsid w:val="0086544C"/>
    <w:rsid w:val="00881958"/>
    <w:rsid w:val="0089168F"/>
    <w:rsid w:val="0089660F"/>
    <w:rsid w:val="008A1A00"/>
    <w:rsid w:val="008C0E81"/>
    <w:rsid w:val="008C26E1"/>
    <w:rsid w:val="008C508E"/>
    <w:rsid w:val="008D7CCB"/>
    <w:rsid w:val="008E27BD"/>
    <w:rsid w:val="008E3AEC"/>
    <w:rsid w:val="008F095B"/>
    <w:rsid w:val="008F4A12"/>
    <w:rsid w:val="009009BB"/>
    <w:rsid w:val="0090147F"/>
    <w:rsid w:val="00904EC5"/>
    <w:rsid w:val="00905CBC"/>
    <w:rsid w:val="00907CCF"/>
    <w:rsid w:val="00912156"/>
    <w:rsid w:val="0091706C"/>
    <w:rsid w:val="00917775"/>
    <w:rsid w:val="00926F44"/>
    <w:rsid w:val="00943680"/>
    <w:rsid w:val="009534C5"/>
    <w:rsid w:val="00960C42"/>
    <w:rsid w:val="00961AFF"/>
    <w:rsid w:val="00967603"/>
    <w:rsid w:val="00983E10"/>
    <w:rsid w:val="00991441"/>
    <w:rsid w:val="009C560E"/>
    <w:rsid w:val="009E06E0"/>
    <w:rsid w:val="00A03E25"/>
    <w:rsid w:val="00A0666E"/>
    <w:rsid w:val="00A11937"/>
    <w:rsid w:val="00A21D44"/>
    <w:rsid w:val="00A3083E"/>
    <w:rsid w:val="00A34AF1"/>
    <w:rsid w:val="00A4335A"/>
    <w:rsid w:val="00A551AB"/>
    <w:rsid w:val="00A620E4"/>
    <w:rsid w:val="00A65410"/>
    <w:rsid w:val="00A814D2"/>
    <w:rsid w:val="00A82DB7"/>
    <w:rsid w:val="00A865CE"/>
    <w:rsid w:val="00A95D43"/>
    <w:rsid w:val="00AA148F"/>
    <w:rsid w:val="00AA1A9A"/>
    <w:rsid w:val="00AA7F8B"/>
    <w:rsid w:val="00AB5ABE"/>
    <w:rsid w:val="00AD673C"/>
    <w:rsid w:val="00AE116A"/>
    <w:rsid w:val="00AF5770"/>
    <w:rsid w:val="00AF61A1"/>
    <w:rsid w:val="00B00656"/>
    <w:rsid w:val="00B04A4E"/>
    <w:rsid w:val="00B0741E"/>
    <w:rsid w:val="00B52E25"/>
    <w:rsid w:val="00B57CE5"/>
    <w:rsid w:val="00B614DC"/>
    <w:rsid w:val="00B67407"/>
    <w:rsid w:val="00B67DE9"/>
    <w:rsid w:val="00B718BD"/>
    <w:rsid w:val="00B72EC5"/>
    <w:rsid w:val="00B846FF"/>
    <w:rsid w:val="00BB0017"/>
    <w:rsid w:val="00BC308C"/>
    <w:rsid w:val="00BC73EA"/>
    <w:rsid w:val="00BE3A13"/>
    <w:rsid w:val="00BF7EAF"/>
    <w:rsid w:val="00C03239"/>
    <w:rsid w:val="00C204BC"/>
    <w:rsid w:val="00C22BD9"/>
    <w:rsid w:val="00C26269"/>
    <w:rsid w:val="00C30955"/>
    <w:rsid w:val="00C322ED"/>
    <w:rsid w:val="00C51B66"/>
    <w:rsid w:val="00C60432"/>
    <w:rsid w:val="00C70D79"/>
    <w:rsid w:val="00C71711"/>
    <w:rsid w:val="00C72CB3"/>
    <w:rsid w:val="00C80B4D"/>
    <w:rsid w:val="00C81B03"/>
    <w:rsid w:val="00CA16DB"/>
    <w:rsid w:val="00CE0D36"/>
    <w:rsid w:val="00CF1324"/>
    <w:rsid w:val="00CF4704"/>
    <w:rsid w:val="00D12A39"/>
    <w:rsid w:val="00D22406"/>
    <w:rsid w:val="00D50E9D"/>
    <w:rsid w:val="00D776DC"/>
    <w:rsid w:val="00D929A7"/>
    <w:rsid w:val="00D974B9"/>
    <w:rsid w:val="00DA4AC7"/>
    <w:rsid w:val="00DA6BE0"/>
    <w:rsid w:val="00DB1B45"/>
    <w:rsid w:val="00DC40E0"/>
    <w:rsid w:val="00DC41DB"/>
    <w:rsid w:val="00DD71D6"/>
    <w:rsid w:val="00DE18EB"/>
    <w:rsid w:val="00E03EE1"/>
    <w:rsid w:val="00E16D54"/>
    <w:rsid w:val="00E32B11"/>
    <w:rsid w:val="00E33862"/>
    <w:rsid w:val="00E4726E"/>
    <w:rsid w:val="00E61B0E"/>
    <w:rsid w:val="00E645E6"/>
    <w:rsid w:val="00E74AAE"/>
    <w:rsid w:val="00E76B70"/>
    <w:rsid w:val="00E871D5"/>
    <w:rsid w:val="00EA091B"/>
    <w:rsid w:val="00EB4C64"/>
    <w:rsid w:val="00EC157B"/>
    <w:rsid w:val="00EE3175"/>
    <w:rsid w:val="00F00225"/>
    <w:rsid w:val="00F02B2B"/>
    <w:rsid w:val="00F0588C"/>
    <w:rsid w:val="00F14D4E"/>
    <w:rsid w:val="00F15C20"/>
    <w:rsid w:val="00F219CE"/>
    <w:rsid w:val="00F42696"/>
    <w:rsid w:val="00F43879"/>
    <w:rsid w:val="00F652AE"/>
    <w:rsid w:val="00F675FD"/>
    <w:rsid w:val="00F70AB6"/>
    <w:rsid w:val="00F81FA2"/>
    <w:rsid w:val="00F828E1"/>
    <w:rsid w:val="00F859A7"/>
    <w:rsid w:val="00FC6AAD"/>
    <w:rsid w:val="00FC7BA7"/>
    <w:rsid w:val="00FD221D"/>
    <w:rsid w:val="00FE3DF1"/>
    <w:rsid w:val="00FE50BD"/>
    <w:rsid w:val="00FE7C9F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203A-389C-466A-94C3-8F431F7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54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3E25"/>
    <w:pPr>
      <w:ind w:left="720"/>
      <w:contextualSpacing/>
    </w:pPr>
  </w:style>
  <w:style w:type="table" w:styleId="TableGrid">
    <w:name w:val="Table Grid"/>
    <w:basedOn w:val="TableNormal"/>
    <w:uiPriority w:val="99"/>
    <w:rsid w:val="00E472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9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19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5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54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2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2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a.palander-collin@helsinki.fi" TargetMode="External"/><Relationship Id="rId13" Type="http://schemas.openxmlformats.org/officeDocument/2006/relationships/hyperlink" Target="http://books.google.com/books?id=OhOdCLVKSHwC&amp;printsec=front_cov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.org/book.cgi?id=30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/books?id=OhOdCLVKSHwC&amp;printsec=front_cov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72BB-42B0-4035-9A64-FDC66B2B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4</Pages>
  <Words>1045</Words>
  <Characters>8469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Palander-Collin, Minna J</dc:creator>
  <cp:keywords/>
  <dc:description/>
  <cp:lastModifiedBy>Palander-Collin, Minna J</cp:lastModifiedBy>
  <cp:revision>40</cp:revision>
  <cp:lastPrinted>2015-06-26T10:43:00Z</cp:lastPrinted>
  <dcterms:created xsi:type="dcterms:W3CDTF">2015-06-23T08:17:00Z</dcterms:created>
  <dcterms:modified xsi:type="dcterms:W3CDTF">2015-06-26T10:44:00Z</dcterms:modified>
</cp:coreProperties>
</file>