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A3321" w14:textId="51D8E6BA" w:rsidR="0024595B" w:rsidRDefault="0024595B" w:rsidP="0024595B">
      <w:pPr>
        <w:jc w:val="right"/>
      </w:pPr>
      <w:bookmarkStart w:id="0" w:name="_GoBack"/>
      <w:bookmarkEnd w:id="0"/>
      <w:r>
        <w:t>Hyväksytty BY:n tdkn:ssa 27.2.2018</w:t>
      </w:r>
    </w:p>
    <w:p w14:paraId="601E5309" w14:textId="001545FA" w:rsidR="001D74A0" w:rsidRPr="00475A46" w:rsidRDefault="22A17CDB" w:rsidP="22A17CDB">
      <w:pPr>
        <w:pStyle w:val="Heading1"/>
        <w:jc w:val="both"/>
        <w:rPr>
          <w:rFonts w:asciiTheme="minorHAnsi" w:hAnsiTheme="minorHAnsi"/>
          <w:sz w:val="22"/>
          <w:szCs w:val="22"/>
        </w:rPr>
      </w:pPr>
      <w:r w:rsidRPr="22A17CDB">
        <w:rPr>
          <w:rFonts w:asciiTheme="minorHAnsi" w:hAnsiTheme="minorHAnsi"/>
          <w:sz w:val="22"/>
          <w:szCs w:val="22"/>
        </w:rPr>
        <w:t xml:space="preserve">MAISTERINTUTKIELMAN (30 OP) YLEISOHJEET </w:t>
      </w:r>
    </w:p>
    <w:p w14:paraId="483CC56C" w14:textId="77777777" w:rsidR="008B124A" w:rsidRDefault="008B124A" w:rsidP="008B124A">
      <w:pPr>
        <w:jc w:val="both"/>
        <w:rPr>
          <w:b/>
          <w:bCs/>
        </w:rPr>
      </w:pPr>
    </w:p>
    <w:p w14:paraId="616FE6FE" w14:textId="1CFD9B55" w:rsidR="008B124A" w:rsidRDefault="22A17CDB" w:rsidP="22A17CDB">
      <w:pPr>
        <w:jc w:val="both"/>
        <w:rPr>
          <w:b/>
          <w:bCs/>
        </w:rPr>
      </w:pPr>
      <w:r w:rsidRPr="22A17CDB">
        <w:rPr>
          <w:b/>
          <w:bCs/>
        </w:rPr>
        <w:t>Maisterintutkielma</w:t>
      </w:r>
    </w:p>
    <w:p w14:paraId="674AEEEF" w14:textId="3DC8384D" w:rsidR="137A064E" w:rsidRPr="008B124A" w:rsidRDefault="22A17CDB" w:rsidP="22A17CDB">
      <w:pPr>
        <w:jc w:val="both"/>
        <w:rPr>
          <w:b/>
          <w:bCs/>
        </w:rPr>
      </w:pPr>
      <w:r>
        <w:t xml:space="preserve">Maisterin tutkinnon opintoihin kuuluu kirjallinen maisterintutkielma, joka yleensä koostuu empiirisestä osasta ja sen kriittisestä tarkastelusta tutkimusaiheeseen liittyvän kirjallisuuden avulla. Tutkielma voi olla myös pelkästään kirjallisuuteen tai muuhun tieteelliseen lähdeaineistoon perustuva tutkimustyö.  Tutkielman kokonaislaajuus on 30 opintopistettä eli työ </w:t>
      </w:r>
      <w:r w:rsidRPr="22A17CDB">
        <w:rPr>
          <w:rFonts w:eastAsia="Calibri"/>
        </w:rPr>
        <w:t xml:space="preserve">tulee olla tehtävissä päätoimisesti työskennellen noin yhden lukukauden aikana </w:t>
      </w:r>
      <w:r>
        <w:t xml:space="preserve">(noin 4–5 kk työtä, noin 20–40 sivua, noin 40–50 lähdettä). Maisterintutkielman pitää olla analyyttinen ja asiaan keskittyvä ja pääsääntöisesti tieteellisen artikkelin tyyliä noudattava. Maisterintutkielmassa noudatetaan johdonmukaista viittaustekniikkaa, josta koulutusohjelmat antavat tarkemmat ohjeet. Maisterintutkielman suunnitelmaa laadittaessa tulee varmistaa, että tutkielma on mahdollista tehdä ohjeistuksen mukaisessa laajuudessa, vaikka työ liittyisi laajempaan tutkimushankkeeseen. </w:t>
      </w:r>
    </w:p>
    <w:p w14:paraId="48F4574C" w14:textId="57162F6C" w:rsidR="00B1103C" w:rsidRPr="00B1103C" w:rsidRDefault="22A17CDB" w:rsidP="00C459A4">
      <w:r>
        <w:t>Maisterintutkielma on opinnäytetyö, jonka tarkoituksena on ennen kaikkea perehdyttää opiskelija tutkimustyöhön kohtuullisen ajan puitteissa. Tästä syystä tutkielma, jonka tulokset jostain työn tekijästä riippumattomasta syystä jäävät hyvinkin puutteellisiksi, voidaan kuitenkin hyväksyä, mikäli empiirinen osa on tehty esitetyn suunnitelman mukaisesti, aineistoa on hyödynnetty riittävästi ja raportointi eli varsinainen tutkielma on tieteelliseltä käsittelytavaltaan hyväksyttävä.  Maisterintutkielman pitää olla suunniteltu ja tehty tutkimuseettisten periaatteiden mukaisesti. Tämä tulisi varmistaa jo suunnitelmavaiheessa. Helsingin yliopiston tutkimuseettisistä periaatteista lisää</w:t>
      </w:r>
      <w:r w:rsidR="00C459A4">
        <w:t>:</w:t>
      </w:r>
      <w:r>
        <w:t xml:space="preserve"> </w:t>
      </w:r>
      <w:hyperlink r:id="rId6">
        <w:r w:rsidRPr="22A17CDB">
          <w:rPr>
            <w:rStyle w:val="Hyperlink"/>
          </w:rPr>
          <w:t>https://www.helsinki.fi/fi/tutkimus/tutkimusymparisto/tutkimusetiikka#section-125</w:t>
        </w:r>
      </w:hyperlink>
      <w:r>
        <w:t xml:space="preserve"> </w:t>
      </w:r>
    </w:p>
    <w:p w14:paraId="17003C04" w14:textId="1930C105" w:rsidR="137A064E" w:rsidRPr="00410561" w:rsidRDefault="22A17CDB" w:rsidP="3BA741F5">
      <w:pPr>
        <w:jc w:val="both"/>
      </w:pPr>
      <w:r>
        <w:t>Tutkielman voi tehdä itsenäisesti tai osallistumalla ryhmätyöhön tai laajempaan tutkimusprojektiin. Työssä on selvästi osoitettava ja arvioitava itsenäinen osuus. Tutkielma kirjoitetaan kuitenkin itsenäisesti. Maisterintutkielman voi tehdä parityönä toisen opiskelijan kanssa vain, jos koulutusohjelma on näin erikseen päättänyt. Tieto tästä on koulutusohjelman ohjeissa (</w:t>
      </w:r>
      <w:r w:rsidRPr="22A17CDB">
        <w:rPr>
          <w:rFonts w:ascii="Calibri" w:eastAsia="Calibri" w:hAnsi="Calibri" w:cs="Calibri"/>
        </w:rPr>
        <w:t xml:space="preserve">guide.student.helsinki.fi). Tutkielma kirjoitetaan kielellä, joka noudattaa HY:n kielisyyslinjauksia (rehtorin päätös 45/2016, 27.4.2016). </w:t>
      </w:r>
      <w:r>
        <w:t>Äidinkieleltään suomen- tai ruotsinkielinen opiskelija kirjoittaa pääsääntöisesti omalla äidinkielellään, mutta voi kirjoittaa maisterintutkielmansa myös englannin kielellä. Englanninkielistä maisterintutkintoa tekevät kirjoittavat maisterintutkielmansa aina englannin kielellä. Kieli kirjataan suunnitelmalomakkeeseen ja hyväksytään sen yhteydessä.</w:t>
      </w:r>
    </w:p>
    <w:p w14:paraId="29350B05" w14:textId="11DBBAF1" w:rsidR="137A064E" w:rsidRPr="00475A46" w:rsidRDefault="22A17CDB" w:rsidP="22A17CDB">
      <w:pPr>
        <w:jc w:val="both"/>
        <w:rPr>
          <w:rFonts w:ascii="Calibri" w:eastAsia="Calibri" w:hAnsi="Calibri" w:cs="Calibri"/>
        </w:rPr>
      </w:pPr>
      <w:r>
        <w:t>Opiskelijan on mahdollista aloittaa maisterintutkielman tekeminen ja hyväksyttää maisterintutkielman suunnitelma vasta sen jälkeen, kun</w:t>
      </w:r>
      <w:r w:rsidRPr="22A17CDB">
        <w:rPr>
          <w:rFonts w:ascii="Calibri" w:eastAsia="Calibri" w:hAnsi="Calibri" w:cs="Calibri"/>
        </w:rPr>
        <w:t xml:space="preserve"> hänet on hyväksytty maisteriohjelman opiskelijaksi. </w:t>
      </w:r>
      <w:r w:rsidRPr="22A17CDB">
        <w:rPr>
          <w:rFonts w:ascii="Times New Roman" w:eastAsia="Times New Roman" w:hAnsi="Times New Roman" w:cs="Times New Roman"/>
          <w:sz w:val="24"/>
          <w:szCs w:val="24"/>
        </w:rPr>
        <w:t xml:space="preserve"> </w:t>
      </w:r>
      <w:r>
        <w:t xml:space="preserve">Tutkielmalla tulee olla nimettynä vähintään yksi ohjaaja. Tutkielman aiheen valinnasta ja ohjaajasta määrätään tarkemmin opiskelijan koulutusohjelmassa. </w:t>
      </w:r>
    </w:p>
    <w:p w14:paraId="3068FE3E" w14:textId="5772D968" w:rsidR="137A064E" w:rsidRPr="00475A46" w:rsidRDefault="22A17CDB" w:rsidP="22A17CDB">
      <w:pPr>
        <w:jc w:val="both"/>
        <w:rPr>
          <w:rFonts w:ascii="Calibri" w:eastAsia="Calibri" w:hAnsi="Calibri" w:cs="Calibri"/>
        </w:rPr>
      </w:pPr>
      <w:r w:rsidRPr="22A17CDB">
        <w:rPr>
          <w:rFonts w:ascii="Calibri" w:eastAsia="Calibri" w:hAnsi="Calibri" w:cs="Calibri"/>
        </w:rPr>
        <w:t xml:space="preserve">Koulutusohjelmalla on yksi tai useampi opetus- ja tutkimushenkilökuntaan kuuluva maisteritutkielmien ja niiden arvioinnin vastuuhenkilö. Opiskelija saa tiedon häntä koskevasta vastuuhenkilöstä samoin kuin ohjeet mm. tutkielman ulkoasusta, tutkimussuunnitelman laatimisesta ja viittaustekniikasta koulutusohjelmakohtaisista ohjeista. </w:t>
      </w:r>
      <w:r>
        <w:t>Koulutusohjelmakohtaiset ohjeet löytyvät opiskelijan ohjeista oman koulutusohjelman kohdalta (</w:t>
      </w:r>
      <w:r w:rsidRPr="22A17CDB">
        <w:rPr>
          <w:rFonts w:ascii="Calibri" w:eastAsia="Calibri" w:hAnsi="Calibri" w:cs="Calibri"/>
        </w:rPr>
        <w:t>guide.student.helsinki.fi).</w:t>
      </w:r>
    </w:p>
    <w:p w14:paraId="1124B84C" w14:textId="364DAF30" w:rsidR="137A064E" w:rsidRPr="00475A46" w:rsidRDefault="22A17CDB" w:rsidP="22A17CDB">
      <w:pPr>
        <w:jc w:val="both"/>
        <w:rPr>
          <w:b/>
          <w:bCs/>
        </w:rPr>
      </w:pPr>
      <w:r w:rsidRPr="22A17CDB">
        <w:rPr>
          <w:b/>
          <w:bCs/>
        </w:rPr>
        <w:t>Maisterintutkielman suunnitelma</w:t>
      </w:r>
    </w:p>
    <w:p w14:paraId="566D1DE1" w14:textId="0634454C" w:rsidR="137A064E" w:rsidRPr="00475A46" w:rsidRDefault="22A17CDB" w:rsidP="22A17CDB">
      <w:pPr>
        <w:jc w:val="both"/>
        <w:rPr>
          <w:color w:val="FF0000"/>
        </w:rPr>
      </w:pPr>
      <w:r>
        <w:t xml:space="preserve">Opiskelijan tulee aina laatia ennen maisterintutkielman aloittamista erillinen, kirjallinen tutkielman suunnitelma. Suunnitelman vahvistavat allekirjoituksillaan koulutusohjelman vastuuhenkilö, opiskelija sekä ohjaaja(t). </w:t>
      </w:r>
      <w:r w:rsidRPr="22A17CDB">
        <w:rPr>
          <w:rFonts w:ascii="Calibri" w:eastAsia="Calibri" w:hAnsi="Calibri" w:cs="Calibri"/>
        </w:rPr>
        <w:t xml:space="preserve">Suunnitelma käsitellään ja arkistoidaan koulutusohjelmassa erikseen määrättävällä tavalla. </w:t>
      </w:r>
      <w:r>
        <w:t xml:space="preserve">Suunnitelmaan kirjataan mm. tutkimuksen tavoitteet ja toteutus, ohjaajat ja työskentelyn eteneminen ohjaussuhteessa, ohjaajan rooli, tutkielman yksityiskohtainen aikataulu, kieli sekä ohjaussuhteen kesto. </w:t>
      </w:r>
    </w:p>
    <w:p w14:paraId="6CA00791" w14:textId="466C4791" w:rsidR="00F16829" w:rsidRPr="00B1103C" w:rsidRDefault="22A17CDB" w:rsidP="22A17CDB">
      <w:pPr>
        <w:pStyle w:val="CommentText"/>
        <w:rPr>
          <w:color w:val="FF0000"/>
          <w:sz w:val="22"/>
          <w:szCs w:val="22"/>
        </w:rPr>
      </w:pPr>
      <w:r w:rsidRPr="22A17CDB">
        <w:rPr>
          <w:sz w:val="22"/>
          <w:szCs w:val="22"/>
        </w:rPr>
        <w:lastRenderedPageBreak/>
        <w:t>Suunnitelman allekirjoittaessaan koulutusohjelman vastuuhenkilö</w:t>
      </w:r>
      <w:r w:rsidRPr="22A17CDB">
        <w:rPr>
          <w:color w:val="FF0000"/>
          <w:sz w:val="22"/>
          <w:szCs w:val="22"/>
        </w:rPr>
        <w:t xml:space="preserve"> </w:t>
      </w:r>
      <w:r w:rsidRPr="22A17CDB">
        <w:rPr>
          <w:sz w:val="22"/>
          <w:szCs w:val="22"/>
        </w:rPr>
        <w:t>hyväksyy tutkielman aiheen sekä varmistaa, että työssä tarvittavat tutkimusvälineet ja työtilat ovat opiskelijan saatavilla. Lisäksi vastuuhenkilö hyväksyy</w:t>
      </w:r>
      <w:r w:rsidRPr="22A17CDB">
        <w:rPr>
          <w:color w:val="FF0000"/>
          <w:sz w:val="22"/>
          <w:szCs w:val="22"/>
        </w:rPr>
        <w:t xml:space="preserve"> </w:t>
      </w:r>
      <w:r w:rsidRPr="22A17CDB">
        <w:rPr>
          <w:sz w:val="22"/>
          <w:szCs w:val="22"/>
        </w:rPr>
        <w:t>työn ohjaajan tai ohjaajat. Työn ohjaajan tulee olla vähintään tohtorin tutkinnon suorittanut tai vastaavan tasoinen henkilö</w:t>
      </w:r>
      <w:r w:rsidRPr="22A17CDB">
        <w:rPr>
          <w:color w:val="FF0000"/>
          <w:sz w:val="22"/>
          <w:szCs w:val="22"/>
        </w:rPr>
        <w:t xml:space="preserve">. </w:t>
      </w:r>
    </w:p>
    <w:p w14:paraId="1BDAE2CE" w14:textId="07AFBCF7" w:rsidR="2C46DC17" w:rsidRDefault="22A17CDB" w:rsidP="2C46DC17">
      <w:pPr>
        <w:jc w:val="both"/>
      </w:pPr>
      <w:r>
        <w:t xml:space="preserve">Maisterintutkielman suunnitelmassa määritellään sen voimassaoloaika. Mikäli voimassaoloaika päättyy, ja opiskelija ei ole jättänyt tutkielmaansa tarkastettavaksi, suunnitelma tulee hyväksyttää ohjaajilla ja vastuuhenkilöllä uudelleen. </w:t>
      </w:r>
      <w:r w:rsidRPr="22A17CDB">
        <w:rPr>
          <w:rFonts w:ascii="Calibri" w:eastAsia="Calibri" w:hAnsi="Calibri" w:cs="Calibri"/>
        </w:rPr>
        <w:t xml:space="preserve">Lyhyestä lisäajasta esim. kirjoitustyön viimeistelyyn voi sopia tutkielman vastuuhenkilön kanssa. </w:t>
      </w:r>
      <w:r>
        <w:t xml:space="preserve">Voimassaoloaika tulee määritellä siten, että opiskelijalla on kohtuullinen aika koota tutkielman aineisto, tehdä tarvittavat analyysit ja kirjoittaa varsinainen tutkielmateksti. </w:t>
      </w:r>
    </w:p>
    <w:p w14:paraId="56A19772" w14:textId="7987D211" w:rsidR="00F16829" w:rsidRPr="00B1103C" w:rsidRDefault="22A17CDB" w:rsidP="2C46DC17">
      <w:pPr>
        <w:jc w:val="both"/>
      </w:pPr>
      <w:r>
        <w:t>Opiskelijan tulee päivittää suunnitelma, mikäli maisterintutkielman aihe tai ohjaaja muuttuu tai jos opiskelijan/ohjaajan tilanne muuttuu niin, ettei maisterintutkielmaa voida suorittaa sovitusti. Mikäli suunnitelmaan kirjattu voimassaoloaika päättyy ja uutta suunnitelmaa ei ole hyväksytty, ohjaajalla ei ole enää velvollisuutta toimia ohjaajana. Opiskelijan keräämän aineiston käyttöoikeudesta sovitaan suunnitelmalomakkeessa</w:t>
      </w:r>
      <w:r w:rsidRPr="22A17CDB">
        <w:rPr>
          <w:color w:val="FF0000"/>
        </w:rPr>
        <w:t xml:space="preserve">. </w:t>
      </w:r>
      <w:r>
        <w:t xml:space="preserve">Maisterintutkielman hyväksytty suunnitelma säilytetään koulutusohjelmassa. Alkuperäinen suunnitelmalomake annetaan opiskelijalle. </w:t>
      </w:r>
    </w:p>
    <w:p w14:paraId="25E04939" w14:textId="77777777" w:rsidR="137A064E" w:rsidRPr="00475A46" w:rsidRDefault="22A17CDB" w:rsidP="22A17CDB">
      <w:pPr>
        <w:jc w:val="both"/>
        <w:rPr>
          <w:b/>
          <w:bCs/>
        </w:rPr>
      </w:pPr>
      <w:r w:rsidRPr="22A17CDB">
        <w:rPr>
          <w:b/>
          <w:bCs/>
        </w:rPr>
        <w:t xml:space="preserve">Maisterintutkielman tiivistelmä </w:t>
      </w:r>
    </w:p>
    <w:p w14:paraId="42EEC20F" w14:textId="072D2F64" w:rsidR="137A064E" w:rsidRPr="00475A46" w:rsidRDefault="22A17CDB" w:rsidP="00C50370">
      <w:pPr>
        <w:jc w:val="both"/>
      </w:pPr>
      <w:r>
        <w:t>Maisterintutkielmaan tulee sisältyä erillinen tiivistelmä. Tiivistelmä kirjoitetaan samalla kielellä kuin tutkielma ja lisäksi on suositeltavaa, että tiivistelmä laaditaan myös englanninkielisenä. Äidinkieleltään suomen- tai ruotsinkielisen opiskelijan englannin tai muulla kielellä laatimaan tutkielmaan tulee liittää myös omalla äidinkielellä kirjoitettu tiivistelmä. Myös työn otsikko käännetään äidinkielelle. Tiivistelmään tulee sisältyä tutkielmaa kuvaavat avainsanat. Tiivistelmä laaditaan yliopiston yleiselle tiivistelmälomakkeelle.</w:t>
      </w:r>
    </w:p>
    <w:p w14:paraId="63C9A95D" w14:textId="2910E855" w:rsidR="137A064E" w:rsidRPr="00475A46" w:rsidRDefault="22A17CDB" w:rsidP="00C50370">
      <w:pPr>
        <w:jc w:val="both"/>
      </w:pPr>
      <w:r>
        <w:t xml:space="preserve">Tiivistelmää laadittaessa on oletettava, että lukijalla on yleiset tiedot aiheesta. Tiivistelmä on voitava ymmärtää ilman tarvetta perehtyä koko tutkielmaan. Se on kirjoitettava täydellisinä virkkeinä, ei väli-otsakeluettelona. Tiivistelmään ei saa sisällyttää viittauksia ja lainauksia, eikä myöskään tietoja tai väitteitä, jotka eivät sisälly itse tutkielmaan. </w:t>
      </w:r>
    </w:p>
    <w:p w14:paraId="11D4D135" w14:textId="38ACB624" w:rsidR="60039AF4" w:rsidRDefault="22A17CDB" w:rsidP="22A17CDB">
      <w:pPr>
        <w:jc w:val="both"/>
        <w:rPr>
          <w:rFonts w:ascii="Calibri" w:eastAsia="Calibri" w:hAnsi="Calibri" w:cs="Calibri"/>
          <w:color w:val="FF0000"/>
        </w:rPr>
      </w:pPr>
      <w:r>
        <w:t xml:space="preserve">Tiivistelmästä tulee käydä ilmi mm. tutkimuksen tarkoitus ja tavoitteet, käytetyt tutkimusmenetelmä ja aineisto, keskeiset tutkimustulokset ja tulosten perusteella tehdyt päätelmät ja mahdolliset jatkotutkimustarpeet. </w:t>
      </w:r>
      <w:r w:rsidRPr="22A17CDB">
        <w:rPr>
          <w:rFonts w:ascii="Calibri" w:eastAsia="Calibri" w:hAnsi="Calibri" w:cs="Calibri"/>
        </w:rPr>
        <w:t>Tiivistelmälomakkeella mainitaan myös työn ohjaaja(t).</w:t>
      </w:r>
    </w:p>
    <w:p w14:paraId="15697F6D" w14:textId="6CF6F1B0" w:rsidR="00BF1FF0" w:rsidRPr="00475A46" w:rsidRDefault="22A17CDB" w:rsidP="22A17CDB">
      <w:pPr>
        <w:jc w:val="both"/>
        <w:rPr>
          <w:color w:val="FF0000"/>
        </w:rPr>
      </w:pPr>
      <w:r>
        <w:t xml:space="preserve">Maisterintutkielmat ovat julkisia. Varsinaiseen arvosteltavaan tutkielmaan ei saa sisällyttää tietoja, jotka ovat viranomaisten toiminnan julkisuudesta annetun lain (621/1999) nojalla salassa pidettäviä. Tällaisia ovat esimerkiksi liike- tai ammattisalaisuudet. Mahdolliset salassa pidettävät tiedot on jätettävä tutkielman tausta-aineistoon. Tutkielman tarkastajat voivat nähdä salassa pidettävät tiedot, mutta heillä on niistä vaitiolovelvollisuus. Tutkielman arvostelu perustuu kuitenkin sen julkiseen osaan. </w:t>
      </w:r>
    </w:p>
    <w:p w14:paraId="15FCFF13" w14:textId="77777777" w:rsidR="008201C8" w:rsidRDefault="008201C8" w:rsidP="22A17CDB">
      <w:pPr>
        <w:jc w:val="both"/>
        <w:rPr>
          <w:b/>
          <w:bCs/>
        </w:rPr>
      </w:pPr>
    </w:p>
    <w:p w14:paraId="103BD160" w14:textId="17E0612F" w:rsidR="00F16829" w:rsidRPr="00475A46" w:rsidRDefault="22A17CDB" w:rsidP="22A17CDB">
      <w:pPr>
        <w:jc w:val="both"/>
        <w:rPr>
          <w:b/>
          <w:bCs/>
        </w:rPr>
      </w:pPr>
      <w:r w:rsidRPr="22A17CDB">
        <w:rPr>
          <w:b/>
          <w:bCs/>
        </w:rPr>
        <w:t xml:space="preserve">Ohjaajan ja opiskelijan vastuut ja velvollisuudet </w:t>
      </w:r>
    </w:p>
    <w:p w14:paraId="161B5557" w14:textId="3E62E0CC" w:rsidR="006522A7" w:rsidRPr="006522A7" w:rsidRDefault="22A17CDB" w:rsidP="22A17CDB">
      <w:pPr>
        <w:jc w:val="both"/>
        <w:rPr>
          <w:color w:val="FF0000"/>
        </w:rPr>
      </w:pPr>
      <w:r>
        <w:t xml:space="preserve">Vastuu työn etenemisestä on ensisijaisesti opiskelijalla ja häneltä edellytetään säännöllistä yhteydenpitoa ohjaajaan. Ohjaajan tulee lukea tutkielman käsikirjoitusversioita, antaa palautetta, neuvoa tieteellisessä kirjoittamisessa ja korjata asiavirheitä. Hänellä on myös vastuu auttaa suunnitelmavaiheessa, </w:t>
      </w:r>
      <w:r w:rsidRPr="22A17CDB">
        <w:rPr>
          <w:rFonts w:ascii="Calibri" w:eastAsia="Calibri" w:hAnsi="Calibri" w:cs="Calibri"/>
        </w:rPr>
        <w:t>ohjata työn kokeellista vaihetta, aineiston keruuta ja menetelmien käyttöä.</w:t>
      </w:r>
      <w:r>
        <w:t xml:space="preserve"> Ohjaajan velvollisuuksiin ei kuulu kuitenkaan esimerkiksi analyysien tai määritysten tekeminen opiskelijan puolesta. Kun opiskelijan suunnitelma on hyväksytty, hän on sitoutunut työskentelemään ohjaajan kanssa sovitun aikataulun puitteissa. Opiskelija keskustelee ja sopii ohjaajan tai ohjaajien kanssa työskentelyn etenemisestä ja vastuista prosessissa ja ne kirjataan suunnitelmalomakkeelle.</w:t>
      </w:r>
    </w:p>
    <w:p w14:paraId="6C9EEF3A" w14:textId="284C72E4" w:rsidR="008201C8" w:rsidRDefault="008201C8" w:rsidP="1347940D">
      <w:pPr>
        <w:jc w:val="both"/>
        <w:rPr>
          <w:b/>
          <w:bCs/>
        </w:rPr>
      </w:pPr>
    </w:p>
    <w:p w14:paraId="057D9EE7" w14:textId="0B26EAF1" w:rsidR="00BE5B41" w:rsidRPr="00475A46" w:rsidRDefault="22A17CDB" w:rsidP="22A17CDB">
      <w:pPr>
        <w:jc w:val="both"/>
        <w:rPr>
          <w:b/>
          <w:bCs/>
        </w:rPr>
      </w:pPr>
      <w:r w:rsidRPr="22A17CDB">
        <w:rPr>
          <w:b/>
          <w:bCs/>
        </w:rPr>
        <w:t xml:space="preserve">Tutkielman tarkastaminen </w:t>
      </w:r>
    </w:p>
    <w:p w14:paraId="1AE9EE59" w14:textId="09185619" w:rsidR="004B45E3" w:rsidRPr="00475A46" w:rsidRDefault="22A17CDB" w:rsidP="22A17CDB">
      <w:pPr>
        <w:jc w:val="both"/>
        <w:rPr>
          <w:color w:val="FF0000"/>
        </w:rPr>
      </w:pPr>
      <w:r>
        <w:lastRenderedPageBreak/>
        <w:t>Opiskelijan tulee jättää valmis maisterintutkielma a</w:t>
      </w:r>
      <w:r w:rsidRPr="22A17CDB">
        <w:rPr>
          <w:rFonts w:ascii="Calibri" w:eastAsia="Calibri" w:hAnsi="Calibri" w:cs="Calibri"/>
        </w:rPr>
        <w:t xml:space="preserve">rvosteltavaksi tallentamalla tutkielma sähköiseen järjestelmään tiedekunnan ohjeiden mukaan. </w:t>
      </w:r>
      <w:r>
        <w:t xml:space="preserve">Opiskelijalla tulee olla voimassa oleva maisterin tutkinnon suoritusoikeus koulutusohjelmassa. Lisäksi opiskelijan tulee olla läsnäolevana yliopistossa sinä lukukautena, jolloin tutkielma hyväksytään ja arvostellaan. </w:t>
      </w:r>
    </w:p>
    <w:p w14:paraId="50F28A71" w14:textId="2AEDE227" w:rsidR="004B45E3" w:rsidRPr="00475A46" w:rsidRDefault="22A17CDB" w:rsidP="22A17CDB">
      <w:pPr>
        <w:jc w:val="both"/>
        <w:rPr>
          <w:color w:val="FF0000"/>
        </w:rPr>
      </w:pPr>
      <w:r>
        <w:t>Koulutusohjelman vastuuhenkilö nimeää tutkielmalle kaksi tarkastajaa. Tarkastajien tulee olla vähintään tohtorin tutkinnon suorittaneita tai vastaavan tasoisia henkilöitä. Lisäksi tutkielman tarkastajien esteellisyydestä on säädetty hallintolain (434/2003) 27 ja 28 §:ssä. Mm. arvosteluasteikon yhdenmukaisemman soveltamisen vuoksi on suositeltavaa, että tarkastajista vähintään toinen on opiskelijan omasta tiedekunnasta tai koulutusohjelmasta. Tarkastajien tulee arvioida tutkielma sähköisessä järjestelmässä.</w:t>
      </w:r>
    </w:p>
    <w:p w14:paraId="5C9B93BE" w14:textId="785FEA0A" w:rsidR="2C46DC17" w:rsidRPr="00CF10B8" w:rsidRDefault="22A17CDB" w:rsidP="22A17CDB">
      <w:pPr>
        <w:jc w:val="both"/>
        <w:rPr>
          <w:b/>
          <w:bCs/>
          <w:color w:val="FF0000"/>
        </w:rPr>
      </w:pPr>
      <w:r>
        <w:t xml:space="preserve">Tarkastajien arviot perustuvat arviointimatriisissa </w:t>
      </w:r>
      <w:r w:rsidRPr="22A17CDB">
        <w:rPr>
          <w:color w:val="FF0000"/>
        </w:rPr>
        <w:t xml:space="preserve">(linkki arviointimatriisiin) </w:t>
      </w:r>
      <w:r>
        <w:t>oleviin osa-alueisiin. Arvion voi kirjoittaa suomeksi, ruotsiksi tai englanniksi. Mikäli maisteritutkielman tekijä ei ole äidinkieleltään suomen- tai ruotsinkielinen, tarkastajien tulee kirjoittaa arvionsa englanniksi. Arviota kirjoitettaessa on kiinnitettävä huomiota siihen, että arvion sisältö ja tutkielmasta ehdotettava arvosana vastaavat toisiaan. Arviot tulee tallentaa sähköiseen järjestelmään kuukauden kuluessa siitä, kun tarkastajat ovat saaneet tutkielman arvosteltavaksi.</w:t>
      </w:r>
    </w:p>
    <w:p w14:paraId="71F6E421" w14:textId="2453231F" w:rsidR="004B45E3" w:rsidRPr="00311E7A" w:rsidRDefault="22A17CDB" w:rsidP="22A17CDB">
      <w:pPr>
        <w:jc w:val="both"/>
        <w:rPr>
          <w:b/>
          <w:bCs/>
          <w:color w:val="FF0000"/>
        </w:rPr>
      </w:pPr>
      <w:r w:rsidRPr="22A17CDB">
        <w:rPr>
          <w:b/>
          <w:bCs/>
        </w:rPr>
        <w:t>Tutkielman tarkastaminen yliopiston plagiaatintunnistusjärjestelmässä</w:t>
      </w:r>
    </w:p>
    <w:p w14:paraId="1E5EE4BF" w14:textId="5F6FADEA" w:rsidR="004B45E3" w:rsidRPr="00475A46" w:rsidRDefault="22A17CDB" w:rsidP="00C50370">
      <w:pPr>
        <w:jc w:val="both"/>
      </w:pPr>
      <w:r>
        <w:t xml:space="preserve">Kaikki arvosteltavaksi jätettävät maisterintutkielmat tarkastetaan plagiaatintunnistusjärjestelmässä tutkielman arvosteltavaksi luovuttamisen yhteydessä. Koulutusohjelman nimeämän vastuuhenkilön tulee käydä tarkastusraportti läpi ja tarvittaessa keskustella siitä opiskelijan kanssa. Opiskelijalla tulee olla tilaisuus tutustua plagiaatintunnistusjärjestelmän antamaan raporttiin viimeistään siinä vaiheessa, kun hän saa tiedon arvosanaehdotuksesta. </w:t>
      </w:r>
    </w:p>
    <w:p w14:paraId="397A2BE2" w14:textId="48126A99" w:rsidR="004B45E3" w:rsidRPr="00475A46" w:rsidRDefault="22A17CDB" w:rsidP="002E68EC">
      <w:pPr>
        <w:jc w:val="both"/>
      </w:pPr>
      <w:r>
        <w:t xml:space="preserve">Kun maisterintutkielma on arvosteltu, sitä koskeva plagiaatintunnistusjärjestelmän raportti on julkinen. Jos opiskelija pyytää maisterintutkielmansa arvostelun keskeyttämistä, tutkielmaa koskeva raportti ei ole vielä julkinen. Jos maisterintutkielmaan epäillään sisältyvän vilppiä, asia tutkitaan yliopiston sisäisen menettelyn mukaisesti. Arvostelematon tutkielma ja sitä koskeva raportti tulevat julkisiksi, kun asiassa on tehty päätös. </w:t>
      </w:r>
    </w:p>
    <w:p w14:paraId="70E951D8" w14:textId="5F526FB7" w:rsidR="004B45E3" w:rsidRPr="008B124A" w:rsidRDefault="22A17CDB" w:rsidP="22A17CDB">
      <w:pPr>
        <w:jc w:val="both"/>
        <w:rPr>
          <w:b/>
          <w:bCs/>
          <w:sz w:val="18"/>
          <w:szCs w:val="18"/>
        </w:rPr>
      </w:pPr>
      <w:r w:rsidRPr="22A17CDB">
        <w:rPr>
          <w:b/>
          <w:bCs/>
        </w:rPr>
        <w:t xml:space="preserve">Tutkielman arvostelu ja arvosanojen perusteiden kuvaukset </w:t>
      </w:r>
      <w:r w:rsidRPr="22A17CDB">
        <w:rPr>
          <w:b/>
          <w:bCs/>
          <w:color w:val="FF0000"/>
          <w:sz w:val="18"/>
          <w:szCs w:val="18"/>
        </w:rPr>
        <w:t>(yliopistotason matriisi ja osa-alueet, linkki päätökseen)</w:t>
      </w:r>
    </w:p>
    <w:p w14:paraId="0B93AE41" w14:textId="7999AE14" w:rsidR="004B45E3" w:rsidRPr="00475A46" w:rsidRDefault="22A17CDB" w:rsidP="2C46DC17">
      <w:pPr>
        <w:jc w:val="both"/>
      </w:pPr>
      <w:r w:rsidRPr="22A17CDB">
        <w:rPr>
          <w:rFonts w:ascii="Calibri" w:eastAsia="Calibri" w:hAnsi="Calibri" w:cs="Calibri"/>
        </w:rPr>
        <w:t>Maisterintutkielman tarkastajat arvioivat lausunnoissaan kohdat 1--6 ja</w:t>
      </w:r>
      <w:r>
        <w:t xml:space="preserve"> ohjaaja arvioi kohdan 7. Maisterintutkielmia arvosteltaessa kiinnitetään huomiota seuraaviin asioihin: </w:t>
      </w:r>
    </w:p>
    <w:p w14:paraId="3B90B241" w14:textId="655BC8F7" w:rsidR="007F2055" w:rsidRPr="00475A46" w:rsidRDefault="22A17CDB" w:rsidP="22A17CDB">
      <w:pPr>
        <w:pStyle w:val="NormalWeb"/>
        <w:numPr>
          <w:ilvl w:val="0"/>
          <w:numId w:val="9"/>
        </w:numPr>
        <w:jc w:val="both"/>
        <w:rPr>
          <w:rFonts w:asciiTheme="minorHAnsi" w:hAnsiTheme="minorHAnsi"/>
          <w:sz w:val="22"/>
          <w:szCs w:val="22"/>
        </w:rPr>
      </w:pPr>
      <w:r w:rsidRPr="22A17CDB">
        <w:rPr>
          <w:rFonts w:asciiTheme="minorHAnsi" w:hAnsiTheme="minorHAnsi"/>
          <w:b/>
          <w:bCs/>
          <w:sz w:val="22"/>
          <w:szCs w:val="22"/>
        </w:rPr>
        <w:t xml:space="preserve">Tutkimusaihe ja tutkimuksen tarkoitus: </w:t>
      </w:r>
      <w:r w:rsidRPr="22A17CDB">
        <w:rPr>
          <w:rFonts w:asciiTheme="minorHAnsi" w:hAnsiTheme="minorHAnsi"/>
          <w:sz w:val="22"/>
          <w:szCs w:val="22"/>
        </w:rPr>
        <w:t>tutkielman aiheen ja sen merkittävyyden perustelu, oivallus aiheen valinnassa ja rajauksessa, selkeä tutkimustehtävä ja tavoite, tutkimusongelma tai -teema, tutkimuseettisten näkökohtien huomioon ottaminen</w:t>
      </w:r>
    </w:p>
    <w:p w14:paraId="39133BC2" w14:textId="77777777" w:rsidR="007F2055" w:rsidRPr="00475A46" w:rsidRDefault="22A17CDB" w:rsidP="22A17CDB">
      <w:pPr>
        <w:pStyle w:val="NormalWeb"/>
        <w:numPr>
          <w:ilvl w:val="0"/>
          <w:numId w:val="9"/>
        </w:numPr>
        <w:jc w:val="both"/>
        <w:rPr>
          <w:rFonts w:asciiTheme="minorHAnsi" w:hAnsiTheme="minorHAnsi"/>
          <w:sz w:val="22"/>
          <w:szCs w:val="22"/>
        </w:rPr>
      </w:pPr>
      <w:r w:rsidRPr="22A17CDB">
        <w:rPr>
          <w:rFonts w:asciiTheme="minorHAnsi" w:hAnsiTheme="minorHAnsi"/>
          <w:b/>
          <w:bCs/>
          <w:sz w:val="22"/>
          <w:szCs w:val="22"/>
        </w:rPr>
        <w:t xml:space="preserve">Tutkimusalan tuntemus ja teoreettinen perehtyneisyys sekä kirjallisuuden käyttö: </w:t>
      </w:r>
      <w:r w:rsidRPr="22A17CDB">
        <w:rPr>
          <w:rFonts w:asciiTheme="minorHAnsi" w:hAnsiTheme="minorHAnsi"/>
          <w:sz w:val="22"/>
          <w:szCs w:val="22"/>
        </w:rPr>
        <w:t>perehtyneisyys aiheeseen liittyvään tutkimukseen ja kirjallisuuteen, näkökulman ja käsitteiden osuvuus käsiteltävän ongelman kannalta, monipuolinen lähdekirjallisuuden käyttö, lähdekritiikki ja alkuperäisten tieteellisten lähteiden käyttö, lähdekirjallisuudessa esiintyvien näkökulmien analyyttinen tarkastelu ja synteesien tekeminen</w:t>
      </w:r>
    </w:p>
    <w:p w14:paraId="31E85AA4" w14:textId="49E926A5" w:rsidR="007F2055" w:rsidRPr="003441B4" w:rsidRDefault="22A17CDB" w:rsidP="22A17CDB">
      <w:pPr>
        <w:pStyle w:val="NormalWeb"/>
        <w:numPr>
          <w:ilvl w:val="0"/>
          <w:numId w:val="9"/>
        </w:numPr>
        <w:jc w:val="both"/>
        <w:rPr>
          <w:rFonts w:asciiTheme="minorHAnsi" w:hAnsiTheme="minorHAnsi"/>
          <w:sz w:val="22"/>
          <w:szCs w:val="22"/>
        </w:rPr>
      </w:pPr>
      <w:r w:rsidRPr="22A17CDB">
        <w:rPr>
          <w:rFonts w:asciiTheme="minorHAnsi" w:hAnsiTheme="minorHAnsi"/>
          <w:b/>
          <w:bCs/>
          <w:sz w:val="22"/>
          <w:szCs w:val="22"/>
        </w:rPr>
        <w:t xml:space="preserve">Aineisto, aineistonhankinta ja analyysit: </w:t>
      </w:r>
      <w:r w:rsidRPr="22A17CDB">
        <w:rPr>
          <w:rFonts w:asciiTheme="minorHAnsi" w:hAnsiTheme="minorHAnsi"/>
          <w:sz w:val="22"/>
          <w:szCs w:val="22"/>
        </w:rPr>
        <w:t>tutkimustehtävän ratkaisemiseen sopivat menetelmät, menetelmien kattava kuvaaminen (strategia, tiedonhankinta ja analyysi), aineiston riittävyys ja sopivuus tutkimustehtävään ja analyysimenetelmiin, aineiston kuvaus, menetelm</w:t>
      </w:r>
      <w:r w:rsidRPr="22A17CDB">
        <w:rPr>
          <w:rFonts w:asciiTheme="minorHAnsi" w:hAnsiTheme="minorHAnsi"/>
          <w:strike/>
          <w:sz w:val="22"/>
          <w:szCs w:val="22"/>
        </w:rPr>
        <w:t>ä</w:t>
      </w:r>
      <w:r w:rsidRPr="22A17CDB">
        <w:rPr>
          <w:rFonts w:asciiTheme="minorHAnsi" w:hAnsiTheme="minorHAnsi"/>
          <w:sz w:val="22"/>
          <w:szCs w:val="22"/>
        </w:rPr>
        <w:t>ien kriittinen ja arvioiva käyttö, tutkimuseettisten näkökohtien huomioon ottaminen</w:t>
      </w:r>
    </w:p>
    <w:p w14:paraId="39EA2543" w14:textId="34BCCB19" w:rsidR="007F2055" w:rsidRPr="00475A46" w:rsidRDefault="22A17CDB" w:rsidP="22A17CDB">
      <w:pPr>
        <w:pStyle w:val="NormalWeb"/>
        <w:numPr>
          <w:ilvl w:val="0"/>
          <w:numId w:val="9"/>
        </w:numPr>
        <w:jc w:val="both"/>
        <w:rPr>
          <w:rFonts w:asciiTheme="minorHAnsi" w:hAnsiTheme="minorHAnsi"/>
          <w:sz w:val="22"/>
          <w:szCs w:val="22"/>
        </w:rPr>
      </w:pPr>
      <w:r w:rsidRPr="22A17CDB">
        <w:rPr>
          <w:rFonts w:asciiTheme="minorHAnsi" w:hAnsiTheme="minorHAnsi"/>
          <w:b/>
          <w:bCs/>
          <w:sz w:val="22"/>
          <w:szCs w:val="22"/>
        </w:rPr>
        <w:t xml:space="preserve">Tutkimustulokset ja niiden raportointi: </w:t>
      </w:r>
      <w:r w:rsidRPr="22A17CDB">
        <w:rPr>
          <w:rFonts w:asciiTheme="minorHAnsi" w:hAnsiTheme="minorHAnsi"/>
          <w:sz w:val="22"/>
          <w:szCs w:val="22"/>
        </w:rPr>
        <w:t>tuloksissa vastataan tutkimuskysymyksiin/-hypoteeseihin, tulosten raportoinnin loogisuus ja selkeys, havainnollisuus: kuvien, piirrosten, taulukoiden suhde tekstiin</w:t>
      </w:r>
    </w:p>
    <w:p w14:paraId="66A45374" w14:textId="118A6DDE" w:rsidR="007F2055" w:rsidRPr="00475A46" w:rsidRDefault="22A17CDB" w:rsidP="22A17CDB">
      <w:pPr>
        <w:pStyle w:val="NormalWeb"/>
        <w:numPr>
          <w:ilvl w:val="0"/>
          <w:numId w:val="9"/>
        </w:numPr>
        <w:jc w:val="both"/>
        <w:rPr>
          <w:rFonts w:asciiTheme="minorHAnsi" w:hAnsiTheme="minorHAnsi"/>
          <w:sz w:val="22"/>
          <w:szCs w:val="22"/>
        </w:rPr>
      </w:pPr>
      <w:r w:rsidRPr="22A17CDB">
        <w:rPr>
          <w:rFonts w:asciiTheme="minorHAnsi" w:hAnsiTheme="minorHAnsi"/>
          <w:b/>
          <w:bCs/>
          <w:sz w:val="22"/>
          <w:szCs w:val="22"/>
        </w:rPr>
        <w:t>Tulosten tarkastelu (pohdinta) ja johtopäätökset</w:t>
      </w:r>
      <w:r w:rsidRPr="22A17CDB">
        <w:rPr>
          <w:rFonts w:asciiTheme="minorHAnsi" w:hAnsiTheme="minorHAnsi"/>
          <w:sz w:val="22"/>
          <w:szCs w:val="22"/>
        </w:rPr>
        <w:t xml:space="preserve"> tutkimustulosten suhteuttaminen aiempaan tutkimukseen, uusien tutkimusongelmien esittäminen, sovellusmahdollisuuksien pohdinta, tutkielman luotettavuustarkastelu tutkimusotteen mukaisesti, tutkimuseettisten näkökohtien pohtiminen, tutkimusprosessin ja -tulosten kriittinen ja perusteellinen tarkastelu, johtopäätösten perusteellisuus, uskottavuus ja oivaltavuus, johtopäätösten perustuminen saatuihin tuloksiin</w:t>
      </w:r>
    </w:p>
    <w:p w14:paraId="49227A5B" w14:textId="14B4BB5E" w:rsidR="007F2055" w:rsidRPr="00475A46" w:rsidRDefault="22A17CDB" w:rsidP="22A17CDB">
      <w:pPr>
        <w:pStyle w:val="NormalWeb"/>
        <w:numPr>
          <w:ilvl w:val="0"/>
          <w:numId w:val="9"/>
        </w:numPr>
        <w:jc w:val="both"/>
        <w:rPr>
          <w:rFonts w:asciiTheme="minorHAnsi" w:hAnsiTheme="minorHAnsi"/>
          <w:sz w:val="22"/>
          <w:szCs w:val="22"/>
        </w:rPr>
      </w:pPr>
      <w:r w:rsidRPr="22A17CDB">
        <w:rPr>
          <w:rFonts w:asciiTheme="minorHAnsi" w:hAnsiTheme="minorHAnsi"/>
          <w:b/>
          <w:bCs/>
          <w:sz w:val="22"/>
          <w:szCs w:val="22"/>
        </w:rPr>
        <w:t xml:space="preserve">Tutkielman rakenne, selkeys ja viimeistely: </w:t>
      </w:r>
      <w:r w:rsidRPr="22A17CDB">
        <w:rPr>
          <w:rFonts w:asciiTheme="minorHAnsi" w:hAnsiTheme="minorHAnsi"/>
          <w:sz w:val="22"/>
          <w:szCs w:val="22"/>
        </w:rPr>
        <w:t xml:space="preserve">selkeä jäsentely, joka sopii tutkimusotteeseen, tieteellisen asiatyylin hallinta (vaihtelee tutkimusotteen mukaan), tutkielman tekijän oman tulkinnan ja lähteessä esitetyn tiedon erottaminen ja yhteen niveltäminen selkeästi ja sujuvasti, oikeakielisyys, asiallinen ja johdonmukainen lähdeviitteiden merkintä, lähdeluettelon selkeys ja virheettömyys, ulkoasun moitteettomuus </w:t>
      </w:r>
    </w:p>
    <w:p w14:paraId="26920396" w14:textId="415B51F2" w:rsidR="2C46DC17" w:rsidRPr="00311E7A" w:rsidRDefault="22A17CDB" w:rsidP="22A17CDB">
      <w:pPr>
        <w:pStyle w:val="NormalWeb"/>
        <w:numPr>
          <w:ilvl w:val="0"/>
          <w:numId w:val="9"/>
        </w:numPr>
        <w:jc w:val="both"/>
        <w:rPr>
          <w:rFonts w:asciiTheme="minorHAnsi" w:hAnsiTheme="minorHAnsi"/>
          <w:sz w:val="22"/>
          <w:szCs w:val="22"/>
        </w:rPr>
      </w:pPr>
      <w:r w:rsidRPr="22A17CDB">
        <w:rPr>
          <w:rFonts w:asciiTheme="minorHAnsi" w:hAnsiTheme="minorHAnsi"/>
          <w:b/>
          <w:bCs/>
          <w:sz w:val="22"/>
          <w:szCs w:val="22"/>
        </w:rPr>
        <w:t>Työskentely tutkielmaprosessin aikana:</w:t>
      </w:r>
      <w:r w:rsidRPr="22A17CDB">
        <w:rPr>
          <w:rFonts w:asciiTheme="minorHAnsi" w:hAnsiTheme="minorHAnsi"/>
          <w:sz w:val="22"/>
          <w:szCs w:val="22"/>
        </w:rPr>
        <w:t xml:space="preserve"> ennakkoluulottomuus ja itsenäisyys, menetelmien omaksuminen ja luovuus ongelmanratkaisussa, tutkielman tekeminen suunnitellussa aikataulussa</w:t>
      </w:r>
    </w:p>
    <w:p w14:paraId="24AB5860" w14:textId="554A7F1E" w:rsidR="003441B4" w:rsidRPr="003441B4" w:rsidRDefault="22A17CDB" w:rsidP="22A17CDB">
      <w:pPr>
        <w:jc w:val="both"/>
        <w:rPr>
          <w:color w:val="FF0000"/>
        </w:rPr>
      </w:pPr>
      <w:r>
        <w:t xml:space="preserve">Maisterintutkielma arvioidaan asteikolla 0-5. Arvosanojen perusteet on kuvattu erillisessä arviointimatriisissa. Tarkastajien tulee laatia lausuntonsa siten, että niissä käsitellään tutkielman kaikkia pääkohtia ja että niistä käyvät ilmi riittävän kattavasti perustelut ehdotetulle arvosanalle. </w:t>
      </w:r>
      <w:r w:rsidRPr="22A17CDB">
        <w:rPr>
          <w:rFonts w:ascii="Calibri" w:eastAsia="Calibri" w:hAnsi="Calibri" w:cs="Calibri"/>
        </w:rPr>
        <w:t xml:space="preserve"> </w:t>
      </w:r>
    </w:p>
    <w:p w14:paraId="3D966351" w14:textId="49C84FD4" w:rsidR="006B3F52" w:rsidRPr="003441B4" w:rsidRDefault="22A17CDB" w:rsidP="22A17CDB">
      <w:pPr>
        <w:jc w:val="both"/>
        <w:rPr>
          <w:rFonts w:eastAsiaTheme="minorEastAsia"/>
          <w:b/>
          <w:bCs/>
        </w:rPr>
      </w:pPr>
      <w:r w:rsidRPr="22A17CDB">
        <w:rPr>
          <w:rFonts w:eastAsiaTheme="minorEastAsia"/>
          <w:b/>
          <w:bCs/>
        </w:rPr>
        <w:t>Pedagoginen maisterintutkielma</w:t>
      </w:r>
    </w:p>
    <w:p w14:paraId="32F59142" w14:textId="0791E13B" w:rsidR="00F51519" w:rsidRDefault="22A17CDB" w:rsidP="008A685D">
      <w:pPr>
        <w:jc w:val="both"/>
      </w:pPr>
      <w:r w:rsidRPr="22A17CDB">
        <w:rPr>
          <w:rFonts w:eastAsiaTheme="minorEastAsia"/>
        </w:rPr>
        <w:t xml:space="preserve">Aineenopettajan pätevyyttä suorittavan opiskelijan on mahdollista tehdä pedagoginen maisterintutkielma, joka keskittyy esim. tutkimukseen oppilaista, opiskelijoista, opettajista tai aineenopettajaopiskelijoista, tai opetusmateriaalin/opetusmenetelmän tuottamiseen ja testaamiseen koulussa tai yliopisto-opinnoissa. Pedagogisen maisterintutkielman tulee noudattaa tiedekunnan yleistä ohjeistusta maisterintutkielmista. Vastuuhenkilö varmistaa, että pedagogisen tutkielman tekevä opiskelija saa myös pedagogista ohjausta. Olisi suositeltavaa, että pedagogisen maisterintutkielman arviointiprosessiin osallistuu ainakin yksi tarkastaja, jolla on kokemusta pedagogisista maisterintutkielmista tai pedagogista koulutusta. Lisätietoja pedagogisesta tutkielmasta </w:t>
      </w:r>
      <w:r w:rsidRPr="22A17CDB">
        <w:rPr>
          <w:rFonts w:eastAsiaTheme="minorEastAsia"/>
          <w:u w:val="single"/>
          <w:lang w:eastAsia="fi-FI"/>
        </w:rPr>
        <w:t>http://blogs.helsinki.fi/bio-ope/tutkielma</w:t>
      </w:r>
      <w:r w:rsidRPr="22A17CDB">
        <w:rPr>
          <w:rFonts w:eastAsiaTheme="minorEastAsia"/>
          <w:lang w:eastAsia="fi-FI"/>
        </w:rPr>
        <w:t xml:space="preserve"> </w:t>
      </w:r>
    </w:p>
    <w:p w14:paraId="1F0FD89B" w14:textId="338144EC" w:rsidR="008A685D" w:rsidRPr="008C7B6D" w:rsidRDefault="22A17CDB" w:rsidP="22A17CDB">
      <w:pPr>
        <w:jc w:val="both"/>
        <w:rPr>
          <w:b/>
          <w:bCs/>
        </w:rPr>
      </w:pPr>
      <w:r w:rsidRPr="22A17CDB">
        <w:rPr>
          <w:b/>
          <w:bCs/>
        </w:rPr>
        <w:t xml:space="preserve">Maisterintutkielman käsittely   </w:t>
      </w:r>
    </w:p>
    <w:p w14:paraId="7190DDFC" w14:textId="018C039B" w:rsidR="00F51519" w:rsidRPr="006D529F" w:rsidRDefault="22A17CDB" w:rsidP="22A17CDB">
      <w:pPr>
        <w:jc w:val="both"/>
      </w:pPr>
      <w:r w:rsidRPr="22A17CDB">
        <w:t xml:space="preserve">Päätöksen maisterintutkielman hyväksymisestä ja arvosanasta tekee tiedekuntaneuvosto. Mikäli asiantuntijatarkastajat ovat eri mieltä arvosanasta, vastuuhenkilö tekee perustellun esityksen arvosanasta. </w:t>
      </w:r>
      <w:r w:rsidRPr="00647EAA">
        <w:rPr>
          <w:highlight w:val="yellow"/>
        </w:rPr>
        <w:t xml:space="preserve">Opiskelija saa tiedon arvosanaehdotuksesta </w:t>
      </w:r>
      <w:r w:rsidR="00647EAA" w:rsidRPr="00647EAA">
        <w:rPr>
          <w:highlight w:val="yellow"/>
        </w:rPr>
        <w:t xml:space="preserve">noin </w:t>
      </w:r>
      <w:r w:rsidRPr="00647EAA">
        <w:rPr>
          <w:highlight w:val="yellow"/>
        </w:rPr>
        <w:t>viikkoa ennen sitä tiedekuntaneuvoston kokousta, jossa tutkielman hyväksymisestä ja arvosanasta päätetään.</w:t>
      </w:r>
      <w:r w:rsidRPr="22A17CDB">
        <w:t xml:space="preserve"> </w:t>
      </w:r>
    </w:p>
    <w:p w14:paraId="01AE8013" w14:textId="29612246" w:rsidR="008A685D" w:rsidRPr="008C7B6D" w:rsidRDefault="22A17CDB" w:rsidP="22A17CDB">
      <w:pPr>
        <w:jc w:val="both"/>
        <w:rPr>
          <w:b/>
          <w:bCs/>
        </w:rPr>
      </w:pPr>
      <w:r>
        <w:t>Opiskelija voi ennen tiedekuntaneuvostossa tapahtuvaa arvostelua pyytää kirjallisesti arvostelun keskeyttämistä, jolloin arvostelumenettely raukeaa. Arvosteluprosessin uudelleen käynnistäminen edellyttää, että tutkielma jätetään uutena työnä asiantuntijatarkastamismenettelyä varten.</w:t>
      </w:r>
      <w:r w:rsidR="45388EE6">
        <w:br/>
      </w:r>
      <w:r>
        <w:t>Tiedekuntaneuvoston arvostelupäätökseen tyytymätön opiskelija voi pyytää oikaisua yliopiston oikeusturvalautakunnalta tutkinto- ja oikeusturvaohjesäännön 56 §:n mukaisesti.</w:t>
      </w:r>
      <w:r w:rsidR="45388EE6">
        <w:br/>
      </w:r>
    </w:p>
    <w:p w14:paraId="0A3CABD4" w14:textId="77777777" w:rsidR="003441B4" w:rsidRPr="00475A46" w:rsidRDefault="22A17CDB" w:rsidP="22A17CDB">
      <w:pPr>
        <w:jc w:val="both"/>
        <w:rPr>
          <w:b/>
          <w:bCs/>
        </w:rPr>
      </w:pPr>
      <w:r w:rsidRPr="22A17CDB">
        <w:rPr>
          <w:b/>
          <w:bCs/>
        </w:rPr>
        <w:t xml:space="preserve">Kypsyysnäyte </w:t>
      </w:r>
    </w:p>
    <w:p w14:paraId="5498A4AE" w14:textId="49A6D8D2" w:rsidR="003441B4" w:rsidRPr="003441B4" w:rsidRDefault="22A17CDB" w:rsidP="22A17CDB">
      <w:pPr>
        <w:jc w:val="both"/>
        <w:rPr>
          <w:rFonts w:ascii="Calibri" w:eastAsia="Calibri" w:hAnsi="Calibri" w:cs="Calibri"/>
        </w:rPr>
      </w:pPr>
      <w:r>
        <w:t xml:space="preserve">Maisterin tutkintoon kuuluu aina kirjallinen kypsyysnäyte, jolla tulee osoittaa perehtyneisyyttä maisterintutkielman alaan ja sisältöön. </w:t>
      </w:r>
      <w:r w:rsidRPr="22A17CDB">
        <w:rPr>
          <w:rFonts w:ascii="Calibri" w:eastAsia="Calibri" w:hAnsi="Calibri" w:cs="Calibri"/>
        </w:rPr>
        <w:t>Kypsyysnäytteen järjestäminen ja suorittaminen ilmoitetaan erikseen koulutusohjelmien ohjeissa.</w:t>
      </w:r>
    </w:p>
    <w:p w14:paraId="1ED2B5B6" w14:textId="0F7ADBAE" w:rsidR="2C46DC17" w:rsidRDefault="2C46DC17" w:rsidP="2C46DC17">
      <w:pPr>
        <w:jc w:val="both"/>
      </w:pPr>
    </w:p>
    <w:sectPr w:rsidR="2C46DC17" w:rsidSect="0024595B">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9"/>
    <w:multiLevelType w:val="hybridMultilevel"/>
    <w:tmpl w:val="96B4DAC6"/>
    <w:lvl w:ilvl="0" w:tplc="040B0001">
      <w:start w:val="1"/>
      <w:numFmt w:val="bullet"/>
      <w:lvlText w:val=""/>
      <w:lvlJc w:val="left"/>
      <w:pPr>
        <w:ind w:left="765" w:hanging="360"/>
      </w:pPr>
      <w:rPr>
        <w:rFonts w:ascii="Symbol" w:hAnsi="Symbol" w:hint="default"/>
      </w:rPr>
    </w:lvl>
    <w:lvl w:ilvl="1" w:tplc="040B0003" w:tentative="1">
      <w:start w:val="1"/>
      <w:numFmt w:val="bullet"/>
      <w:lvlText w:val="o"/>
      <w:lvlJc w:val="left"/>
      <w:pPr>
        <w:ind w:left="1485" w:hanging="360"/>
      </w:pPr>
      <w:rPr>
        <w:rFonts w:ascii="Courier New" w:hAnsi="Courier New" w:cs="Courier New" w:hint="default"/>
      </w:rPr>
    </w:lvl>
    <w:lvl w:ilvl="2" w:tplc="040B0005" w:tentative="1">
      <w:start w:val="1"/>
      <w:numFmt w:val="bullet"/>
      <w:lvlText w:val=""/>
      <w:lvlJc w:val="left"/>
      <w:pPr>
        <w:ind w:left="2205" w:hanging="360"/>
      </w:pPr>
      <w:rPr>
        <w:rFonts w:ascii="Wingdings" w:hAnsi="Wingdings" w:hint="default"/>
      </w:rPr>
    </w:lvl>
    <w:lvl w:ilvl="3" w:tplc="040B0001" w:tentative="1">
      <w:start w:val="1"/>
      <w:numFmt w:val="bullet"/>
      <w:lvlText w:val=""/>
      <w:lvlJc w:val="left"/>
      <w:pPr>
        <w:ind w:left="2925" w:hanging="360"/>
      </w:pPr>
      <w:rPr>
        <w:rFonts w:ascii="Symbol" w:hAnsi="Symbol" w:hint="default"/>
      </w:rPr>
    </w:lvl>
    <w:lvl w:ilvl="4" w:tplc="040B0003" w:tentative="1">
      <w:start w:val="1"/>
      <w:numFmt w:val="bullet"/>
      <w:lvlText w:val="o"/>
      <w:lvlJc w:val="left"/>
      <w:pPr>
        <w:ind w:left="3645" w:hanging="360"/>
      </w:pPr>
      <w:rPr>
        <w:rFonts w:ascii="Courier New" w:hAnsi="Courier New" w:cs="Courier New" w:hint="default"/>
      </w:rPr>
    </w:lvl>
    <w:lvl w:ilvl="5" w:tplc="040B0005" w:tentative="1">
      <w:start w:val="1"/>
      <w:numFmt w:val="bullet"/>
      <w:lvlText w:val=""/>
      <w:lvlJc w:val="left"/>
      <w:pPr>
        <w:ind w:left="4365" w:hanging="360"/>
      </w:pPr>
      <w:rPr>
        <w:rFonts w:ascii="Wingdings" w:hAnsi="Wingdings" w:hint="default"/>
      </w:rPr>
    </w:lvl>
    <w:lvl w:ilvl="6" w:tplc="040B0001" w:tentative="1">
      <w:start w:val="1"/>
      <w:numFmt w:val="bullet"/>
      <w:lvlText w:val=""/>
      <w:lvlJc w:val="left"/>
      <w:pPr>
        <w:ind w:left="5085" w:hanging="360"/>
      </w:pPr>
      <w:rPr>
        <w:rFonts w:ascii="Symbol" w:hAnsi="Symbol" w:hint="default"/>
      </w:rPr>
    </w:lvl>
    <w:lvl w:ilvl="7" w:tplc="040B0003" w:tentative="1">
      <w:start w:val="1"/>
      <w:numFmt w:val="bullet"/>
      <w:lvlText w:val="o"/>
      <w:lvlJc w:val="left"/>
      <w:pPr>
        <w:ind w:left="5805" w:hanging="360"/>
      </w:pPr>
      <w:rPr>
        <w:rFonts w:ascii="Courier New" w:hAnsi="Courier New" w:cs="Courier New" w:hint="default"/>
      </w:rPr>
    </w:lvl>
    <w:lvl w:ilvl="8" w:tplc="040B0005" w:tentative="1">
      <w:start w:val="1"/>
      <w:numFmt w:val="bullet"/>
      <w:lvlText w:val=""/>
      <w:lvlJc w:val="left"/>
      <w:pPr>
        <w:ind w:left="6525" w:hanging="360"/>
      </w:pPr>
      <w:rPr>
        <w:rFonts w:ascii="Wingdings" w:hAnsi="Wingdings" w:hint="default"/>
      </w:rPr>
    </w:lvl>
  </w:abstractNum>
  <w:abstractNum w:abstractNumId="1" w15:restartNumberingAfterBreak="0">
    <w:nsid w:val="095A6FEE"/>
    <w:multiLevelType w:val="multilevel"/>
    <w:tmpl w:val="A2E6FF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55FA7"/>
    <w:multiLevelType w:val="multilevel"/>
    <w:tmpl w:val="98C09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A247E"/>
    <w:multiLevelType w:val="multilevel"/>
    <w:tmpl w:val="7550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A5DDA"/>
    <w:multiLevelType w:val="hybridMultilevel"/>
    <w:tmpl w:val="758882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2326824"/>
    <w:multiLevelType w:val="hybridMultilevel"/>
    <w:tmpl w:val="B3B472C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325C2F60"/>
    <w:multiLevelType w:val="multilevel"/>
    <w:tmpl w:val="50B6C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2E2A6C"/>
    <w:multiLevelType w:val="multilevel"/>
    <w:tmpl w:val="4C90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57E9E"/>
    <w:multiLevelType w:val="hybridMultilevel"/>
    <w:tmpl w:val="3320C6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C0B0E5B"/>
    <w:multiLevelType w:val="hybridMultilevel"/>
    <w:tmpl w:val="1D56BCCA"/>
    <w:lvl w:ilvl="0" w:tplc="84505542">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41D21A0"/>
    <w:multiLevelType w:val="multilevel"/>
    <w:tmpl w:val="53E8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826A1C"/>
    <w:multiLevelType w:val="hybridMultilevel"/>
    <w:tmpl w:val="35DE107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F237EE9"/>
    <w:multiLevelType w:val="hybridMultilevel"/>
    <w:tmpl w:val="9A00A29A"/>
    <w:lvl w:ilvl="0" w:tplc="78EEE6A2">
      <w:numFmt w:val="bullet"/>
      <w:lvlText w:val="-"/>
      <w:lvlJc w:val="left"/>
      <w:pPr>
        <w:ind w:left="720" w:hanging="360"/>
      </w:pPr>
      <w:rPr>
        <w:rFonts w:ascii="Open Sans" w:eastAsia="Times New Roman" w:hAnsi="Open Sans" w:cs="Helvetic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3130A75"/>
    <w:multiLevelType w:val="multilevel"/>
    <w:tmpl w:val="DBD4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9E4E10"/>
    <w:multiLevelType w:val="hybridMultilevel"/>
    <w:tmpl w:val="27C8B1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9621B83"/>
    <w:multiLevelType w:val="hybridMultilevel"/>
    <w:tmpl w:val="FE98D334"/>
    <w:lvl w:ilvl="0" w:tplc="431E5540">
      <w:start w:val="5"/>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5091A98"/>
    <w:multiLevelType w:val="multilevel"/>
    <w:tmpl w:val="D2F4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D4229D"/>
    <w:multiLevelType w:val="hybridMultilevel"/>
    <w:tmpl w:val="349EFB72"/>
    <w:lvl w:ilvl="0" w:tplc="0DB2B18E">
      <w:start w:val="1"/>
      <w:numFmt w:val="bullet"/>
      <w:lvlText w:val=""/>
      <w:lvlJc w:val="left"/>
      <w:pPr>
        <w:ind w:left="720" w:hanging="360"/>
      </w:pPr>
      <w:rPr>
        <w:rFonts w:ascii="Symbol" w:hAnsi="Symbol" w:hint="default"/>
      </w:rPr>
    </w:lvl>
    <w:lvl w:ilvl="1" w:tplc="320AF1E8">
      <w:start w:val="1"/>
      <w:numFmt w:val="bullet"/>
      <w:lvlText w:val="o"/>
      <w:lvlJc w:val="left"/>
      <w:pPr>
        <w:ind w:left="1440" w:hanging="360"/>
      </w:pPr>
      <w:rPr>
        <w:rFonts w:ascii="Courier New" w:hAnsi="Courier New" w:hint="default"/>
      </w:rPr>
    </w:lvl>
    <w:lvl w:ilvl="2" w:tplc="F1C80CA2">
      <w:start w:val="1"/>
      <w:numFmt w:val="bullet"/>
      <w:lvlText w:val=""/>
      <w:lvlJc w:val="left"/>
      <w:pPr>
        <w:ind w:left="2160" w:hanging="360"/>
      </w:pPr>
      <w:rPr>
        <w:rFonts w:ascii="Wingdings" w:hAnsi="Wingdings" w:hint="default"/>
      </w:rPr>
    </w:lvl>
    <w:lvl w:ilvl="3" w:tplc="0622839C">
      <w:start w:val="1"/>
      <w:numFmt w:val="bullet"/>
      <w:lvlText w:val=""/>
      <w:lvlJc w:val="left"/>
      <w:pPr>
        <w:ind w:left="2880" w:hanging="360"/>
      </w:pPr>
      <w:rPr>
        <w:rFonts w:ascii="Symbol" w:hAnsi="Symbol" w:hint="default"/>
      </w:rPr>
    </w:lvl>
    <w:lvl w:ilvl="4" w:tplc="55BC82DA">
      <w:start w:val="1"/>
      <w:numFmt w:val="bullet"/>
      <w:lvlText w:val="o"/>
      <w:lvlJc w:val="left"/>
      <w:pPr>
        <w:ind w:left="3600" w:hanging="360"/>
      </w:pPr>
      <w:rPr>
        <w:rFonts w:ascii="Courier New" w:hAnsi="Courier New" w:hint="default"/>
      </w:rPr>
    </w:lvl>
    <w:lvl w:ilvl="5" w:tplc="6C8EF34A">
      <w:start w:val="1"/>
      <w:numFmt w:val="bullet"/>
      <w:lvlText w:val=""/>
      <w:lvlJc w:val="left"/>
      <w:pPr>
        <w:ind w:left="4320" w:hanging="360"/>
      </w:pPr>
      <w:rPr>
        <w:rFonts w:ascii="Wingdings" w:hAnsi="Wingdings" w:hint="default"/>
      </w:rPr>
    </w:lvl>
    <w:lvl w:ilvl="6" w:tplc="FCAC0E68">
      <w:start w:val="1"/>
      <w:numFmt w:val="bullet"/>
      <w:lvlText w:val=""/>
      <w:lvlJc w:val="left"/>
      <w:pPr>
        <w:ind w:left="5040" w:hanging="360"/>
      </w:pPr>
      <w:rPr>
        <w:rFonts w:ascii="Symbol" w:hAnsi="Symbol" w:hint="default"/>
      </w:rPr>
    </w:lvl>
    <w:lvl w:ilvl="7" w:tplc="ECA2C2D8">
      <w:start w:val="1"/>
      <w:numFmt w:val="bullet"/>
      <w:lvlText w:val="o"/>
      <w:lvlJc w:val="left"/>
      <w:pPr>
        <w:ind w:left="5760" w:hanging="360"/>
      </w:pPr>
      <w:rPr>
        <w:rFonts w:ascii="Courier New" w:hAnsi="Courier New" w:hint="default"/>
      </w:rPr>
    </w:lvl>
    <w:lvl w:ilvl="8" w:tplc="5E74147A">
      <w:start w:val="1"/>
      <w:numFmt w:val="bullet"/>
      <w:lvlText w:val=""/>
      <w:lvlJc w:val="left"/>
      <w:pPr>
        <w:ind w:left="6480" w:hanging="360"/>
      </w:pPr>
      <w:rPr>
        <w:rFonts w:ascii="Wingdings" w:hAnsi="Wingdings" w:hint="default"/>
      </w:rPr>
    </w:lvl>
  </w:abstractNum>
  <w:abstractNum w:abstractNumId="18" w15:restartNumberingAfterBreak="0">
    <w:nsid w:val="7A196613"/>
    <w:multiLevelType w:val="hybridMultilevel"/>
    <w:tmpl w:val="4D32D59C"/>
    <w:lvl w:ilvl="0" w:tplc="3C4C84E6">
      <w:start w:val="1"/>
      <w:numFmt w:val="bullet"/>
      <w:lvlText w:val=""/>
      <w:lvlJc w:val="left"/>
      <w:pPr>
        <w:ind w:left="720" w:hanging="360"/>
      </w:pPr>
      <w:rPr>
        <w:rFonts w:ascii="Symbol" w:hAnsi="Symbol" w:hint="default"/>
      </w:rPr>
    </w:lvl>
    <w:lvl w:ilvl="1" w:tplc="D7DCA6A0">
      <w:start w:val="1"/>
      <w:numFmt w:val="bullet"/>
      <w:lvlText w:val="o"/>
      <w:lvlJc w:val="left"/>
      <w:pPr>
        <w:ind w:left="1440" w:hanging="360"/>
      </w:pPr>
      <w:rPr>
        <w:rFonts w:ascii="Courier New" w:hAnsi="Courier New" w:hint="default"/>
      </w:rPr>
    </w:lvl>
    <w:lvl w:ilvl="2" w:tplc="D87EEA98">
      <w:start w:val="1"/>
      <w:numFmt w:val="bullet"/>
      <w:lvlText w:val=""/>
      <w:lvlJc w:val="left"/>
      <w:pPr>
        <w:ind w:left="2160" w:hanging="360"/>
      </w:pPr>
      <w:rPr>
        <w:rFonts w:ascii="Wingdings" w:hAnsi="Wingdings" w:hint="default"/>
      </w:rPr>
    </w:lvl>
    <w:lvl w:ilvl="3" w:tplc="7F988778">
      <w:start w:val="1"/>
      <w:numFmt w:val="bullet"/>
      <w:lvlText w:val=""/>
      <w:lvlJc w:val="left"/>
      <w:pPr>
        <w:ind w:left="2880" w:hanging="360"/>
      </w:pPr>
      <w:rPr>
        <w:rFonts w:ascii="Symbol" w:hAnsi="Symbol" w:hint="default"/>
      </w:rPr>
    </w:lvl>
    <w:lvl w:ilvl="4" w:tplc="96E2CD1A">
      <w:start w:val="1"/>
      <w:numFmt w:val="bullet"/>
      <w:lvlText w:val="o"/>
      <w:lvlJc w:val="left"/>
      <w:pPr>
        <w:ind w:left="3600" w:hanging="360"/>
      </w:pPr>
      <w:rPr>
        <w:rFonts w:ascii="Courier New" w:hAnsi="Courier New" w:hint="default"/>
      </w:rPr>
    </w:lvl>
    <w:lvl w:ilvl="5" w:tplc="09602752">
      <w:start w:val="1"/>
      <w:numFmt w:val="bullet"/>
      <w:lvlText w:val=""/>
      <w:lvlJc w:val="left"/>
      <w:pPr>
        <w:ind w:left="4320" w:hanging="360"/>
      </w:pPr>
      <w:rPr>
        <w:rFonts w:ascii="Wingdings" w:hAnsi="Wingdings" w:hint="default"/>
      </w:rPr>
    </w:lvl>
    <w:lvl w:ilvl="6" w:tplc="C234E9CA">
      <w:start w:val="1"/>
      <w:numFmt w:val="bullet"/>
      <w:lvlText w:val=""/>
      <w:lvlJc w:val="left"/>
      <w:pPr>
        <w:ind w:left="5040" w:hanging="360"/>
      </w:pPr>
      <w:rPr>
        <w:rFonts w:ascii="Symbol" w:hAnsi="Symbol" w:hint="default"/>
      </w:rPr>
    </w:lvl>
    <w:lvl w:ilvl="7" w:tplc="89FE523E">
      <w:start w:val="1"/>
      <w:numFmt w:val="bullet"/>
      <w:lvlText w:val="o"/>
      <w:lvlJc w:val="left"/>
      <w:pPr>
        <w:ind w:left="5760" w:hanging="360"/>
      </w:pPr>
      <w:rPr>
        <w:rFonts w:ascii="Courier New" w:hAnsi="Courier New" w:hint="default"/>
      </w:rPr>
    </w:lvl>
    <w:lvl w:ilvl="8" w:tplc="8A0ECBE4">
      <w:start w:val="1"/>
      <w:numFmt w:val="bullet"/>
      <w:lvlText w:val=""/>
      <w:lvlJc w:val="left"/>
      <w:pPr>
        <w:ind w:left="6480" w:hanging="360"/>
      </w:pPr>
      <w:rPr>
        <w:rFonts w:ascii="Wingdings" w:hAnsi="Wingdings" w:hint="default"/>
      </w:rPr>
    </w:lvl>
  </w:abstractNum>
  <w:abstractNum w:abstractNumId="19" w15:restartNumberingAfterBreak="0">
    <w:nsid w:val="7FC46835"/>
    <w:multiLevelType w:val="hybridMultilevel"/>
    <w:tmpl w:val="406E4B8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4"/>
  </w:num>
  <w:num w:numId="4">
    <w:abstractNumId w:val="19"/>
  </w:num>
  <w:num w:numId="5">
    <w:abstractNumId w:val="11"/>
  </w:num>
  <w:num w:numId="6">
    <w:abstractNumId w:val="9"/>
  </w:num>
  <w:num w:numId="7">
    <w:abstractNumId w:val="8"/>
  </w:num>
  <w:num w:numId="8">
    <w:abstractNumId w:val="4"/>
  </w:num>
  <w:num w:numId="9">
    <w:abstractNumId w:val="5"/>
  </w:num>
  <w:num w:numId="10">
    <w:abstractNumId w:val="0"/>
  </w:num>
  <w:num w:numId="11">
    <w:abstractNumId w:val="12"/>
  </w:num>
  <w:num w:numId="12">
    <w:abstractNumId w:val="1"/>
  </w:num>
  <w:num w:numId="13">
    <w:abstractNumId w:val="15"/>
  </w:num>
  <w:num w:numId="14">
    <w:abstractNumId w:val="3"/>
  </w:num>
  <w:num w:numId="15">
    <w:abstractNumId w:val="10"/>
  </w:num>
  <w:num w:numId="16">
    <w:abstractNumId w:val="2"/>
  </w:num>
  <w:num w:numId="17">
    <w:abstractNumId w:val="16"/>
  </w:num>
  <w:num w:numId="18">
    <w:abstractNumId w:val="6"/>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A0"/>
    <w:rsid w:val="000013BD"/>
    <w:rsid w:val="000144AD"/>
    <w:rsid w:val="00014522"/>
    <w:rsid w:val="0002641E"/>
    <w:rsid w:val="0004332F"/>
    <w:rsid w:val="00043F87"/>
    <w:rsid w:val="0004704D"/>
    <w:rsid w:val="000552EA"/>
    <w:rsid w:val="00056C77"/>
    <w:rsid w:val="00060C52"/>
    <w:rsid w:val="0006121A"/>
    <w:rsid w:val="00061BDF"/>
    <w:rsid w:val="00065731"/>
    <w:rsid w:val="00071792"/>
    <w:rsid w:val="0007417F"/>
    <w:rsid w:val="0009293A"/>
    <w:rsid w:val="000A3ACD"/>
    <w:rsid w:val="000A5EFD"/>
    <w:rsid w:val="000B52A8"/>
    <w:rsid w:val="000C3CDB"/>
    <w:rsid w:val="000C66B4"/>
    <w:rsid w:val="000C707F"/>
    <w:rsid w:val="000C7DCE"/>
    <w:rsid w:val="000D2631"/>
    <w:rsid w:val="000D415E"/>
    <w:rsid w:val="000F3F7B"/>
    <w:rsid w:val="001015A2"/>
    <w:rsid w:val="00107E2B"/>
    <w:rsid w:val="00120CC1"/>
    <w:rsid w:val="00125D75"/>
    <w:rsid w:val="00127AAE"/>
    <w:rsid w:val="001301A8"/>
    <w:rsid w:val="00130993"/>
    <w:rsid w:val="001412F4"/>
    <w:rsid w:val="00141699"/>
    <w:rsid w:val="00141F72"/>
    <w:rsid w:val="0015234F"/>
    <w:rsid w:val="00161B37"/>
    <w:rsid w:val="0016617A"/>
    <w:rsid w:val="00166D9C"/>
    <w:rsid w:val="00167485"/>
    <w:rsid w:val="001709FA"/>
    <w:rsid w:val="00172A50"/>
    <w:rsid w:val="00173135"/>
    <w:rsid w:val="00173263"/>
    <w:rsid w:val="00177E45"/>
    <w:rsid w:val="00180950"/>
    <w:rsid w:val="0019212B"/>
    <w:rsid w:val="0019301D"/>
    <w:rsid w:val="00196C53"/>
    <w:rsid w:val="00197ABA"/>
    <w:rsid w:val="001A2769"/>
    <w:rsid w:val="001A2AD5"/>
    <w:rsid w:val="001A516C"/>
    <w:rsid w:val="001A5733"/>
    <w:rsid w:val="001A6343"/>
    <w:rsid w:val="001B263F"/>
    <w:rsid w:val="001B2BB7"/>
    <w:rsid w:val="001C50C9"/>
    <w:rsid w:val="001D0654"/>
    <w:rsid w:val="001D216B"/>
    <w:rsid w:val="001D2888"/>
    <w:rsid w:val="001D2B1D"/>
    <w:rsid w:val="001D74A0"/>
    <w:rsid w:val="001E4D1E"/>
    <w:rsid w:val="001F10D4"/>
    <w:rsid w:val="00213E36"/>
    <w:rsid w:val="00232591"/>
    <w:rsid w:val="002359CF"/>
    <w:rsid w:val="0024595B"/>
    <w:rsid w:val="0026007D"/>
    <w:rsid w:val="002632F0"/>
    <w:rsid w:val="00267813"/>
    <w:rsid w:val="00267A0D"/>
    <w:rsid w:val="0027410E"/>
    <w:rsid w:val="00277FEE"/>
    <w:rsid w:val="002917DA"/>
    <w:rsid w:val="002A4CA4"/>
    <w:rsid w:val="002D3AD7"/>
    <w:rsid w:val="002D6ED9"/>
    <w:rsid w:val="002E68EC"/>
    <w:rsid w:val="002F49BD"/>
    <w:rsid w:val="00311E7A"/>
    <w:rsid w:val="0031540D"/>
    <w:rsid w:val="003155F0"/>
    <w:rsid w:val="00326B61"/>
    <w:rsid w:val="0033116F"/>
    <w:rsid w:val="0033293A"/>
    <w:rsid w:val="003424C5"/>
    <w:rsid w:val="003441B4"/>
    <w:rsid w:val="00346EF6"/>
    <w:rsid w:val="00350B54"/>
    <w:rsid w:val="00351B0B"/>
    <w:rsid w:val="00355F96"/>
    <w:rsid w:val="00364CDE"/>
    <w:rsid w:val="00366E11"/>
    <w:rsid w:val="003737D7"/>
    <w:rsid w:val="00373894"/>
    <w:rsid w:val="003772BC"/>
    <w:rsid w:val="00380EB2"/>
    <w:rsid w:val="00381D88"/>
    <w:rsid w:val="003951AF"/>
    <w:rsid w:val="003A2F95"/>
    <w:rsid w:val="003B6BF2"/>
    <w:rsid w:val="003C29ED"/>
    <w:rsid w:val="003C73DA"/>
    <w:rsid w:val="003D0722"/>
    <w:rsid w:val="003D1758"/>
    <w:rsid w:val="003E38BA"/>
    <w:rsid w:val="003E4253"/>
    <w:rsid w:val="003E5B44"/>
    <w:rsid w:val="003E73B6"/>
    <w:rsid w:val="003F135B"/>
    <w:rsid w:val="003F74EB"/>
    <w:rsid w:val="00410561"/>
    <w:rsid w:val="00420036"/>
    <w:rsid w:val="00420280"/>
    <w:rsid w:val="00420FBA"/>
    <w:rsid w:val="004308E6"/>
    <w:rsid w:val="0043793E"/>
    <w:rsid w:val="00445199"/>
    <w:rsid w:val="00473649"/>
    <w:rsid w:val="00475A46"/>
    <w:rsid w:val="00480840"/>
    <w:rsid w:val="004827A5"/>
    <w:rsid w:val="00483A5D"/>
    <w:rsid w:val="004851D7"/>
    <w:rsid w:val="00492CA3"/>
    <w:rsid w:val="004A18BA"/>
    <w:rsid w:val="004B45E3"/>
    <w:rsid w:val="004C02D0"/>
    <w:rsid w:val="004E1E4B"/>
    <w:rsid w:val="00502154"/>
    <w:rsid w:val="00506CA5"/>
    <w:rsid w:val="00507B2A"/>
    <w:rsid w:val="00523C2C"/>
    <w:rsid w:val="00533E39"/>
    <w:rsid w:val="00545795"/>
    <w:rsid w:val="00550005"/>
    <w:rsid w:val="005645F8"/>
    <w:rsid w:val="005657BE"/>
    <w:rsid w:val="00573434"/>
    <w:rsid w:val="005809FB"/>
    <w:rsid w:val="00580DAA"/>
    <w:rsid w:val="005949C3"/>
    <w:rsid w:val="00597B5F"/>
    <w:rsid w:val="005C0558"/>
    <w:rsid w:val="005C4827"/>
    <w:rsid w:val="005C621C"/>
    <w:rsid w:val="005D16B1"/>
    <w:rsid w:val="005D258F"/>
    <w:rsid w:val="005D34B5"/>
    <w:rsid w:val="005E0142"/>
    <w:rsid w:val="006013C2"/>
    <w:rsid w:val="00612D55"/>
    <w:rsid w:val="00622B73"/>
    <w:rsid w:val="006233F1"/>
    <w:rsid w:val="006260F1"/>
    <w:rsid w:val="00636115"/>
    <w:rsid w:val="00645CAB"/>
    <w:rsid w:val="00647D60"/>
    <w:rsid w:val="00647EAA"/>
    <w:rsid w:val="006522A7"/>
    <w:rsid w:val="00655F61"/>
    <w:rsid w:val="006603B0"/>
    <w:rsid w:val="00661268"/>
    <w:rsid w:val="00664228"/>
    <w:rsid w:val="00664A66"/>
    <w:rsid w:val="00665886"/>
    <w:rsid w:val="00666938"/>
    <w:rsid w:val="00676865"/>
    <w:rsid w:val="00685A30"/>
    <w:rsid w:val="00691877"/>
    <w:rsid w:val="006939DD"/>
    <w:rsid w:val="00696E5D"/>
    <w:rsid w:val="006A62CA"/>
    <w:rsid w:val="006B24B4"/>
    <w:rsid w:val="006B3F52"/>
    <w:rsid w:val="006D529F"/>
    <w:rsid w:val="006E107C"/>
    <w:rsid w:val="006E198D"/>
    <w:rsid w:val="006F4F9B"/>
    <w:rsid w:val="007103E5"/>
    <w:rsid w:val="00713A80"/>
    <w:rsid w:val="00723AEB"/>
    <w:rsid w:val="00724736"/>
    <w:rsid w:val="00734AF6"/>
    <w:rsid w:val="00740CD5"/>
    <w:rsid w:val="00747E81"/>
    <w:rsid w:val="007502CF"/>
    <w:rsid w:val="007512EE"/>
    <w:rsid w:val="00756460"/>
    <w:rsid w:val="00757DF7"/>
    <w:rsid w:val="00760C7D"/>
    <w:rsid w:val="007654DA"/>
    <w:rsid w:val="00765C9A"/>
    <w:rsid w:val="0076742F"/>
    <w:rsid w:val="0077673C"/>
    <w:rsid w:val="00795713"/>
    <w:rsid w:val="007A3959"/>
    <w:rsid w:val="007B4AE5"/>
    <w:rsid w:val="007C338C"/>
    <w:rsid w:val="007D34CF"/>
    <w:rsid w:val="007D36E9"/>
    <w:rsid w:val="007D7E96"/>
    <w:rsid w:val="007E4181"/>
    <w:rsid w:val="007F1A07"/>
    <w:rsid w:val="007F2055"/>
    <w:rsid w:val="00804D44"/>
    <w:rsid w:val="008164A4"/>
    <w:rsid w:val="008201C8"/>
    <w:rsid w:val="008249AE"/>
    <w:rsid w:val="00837072"/>
    <w:rsid w:val="008466A5"/>
    <w:rsid w:val="0084687E"/>
    <w:rsid w:val="00863129"/>
    <w:rsid w:val="008639D9"/>
    <w:rsid w:val="00865F40"/>
    <w:rsid w:val="008663E6"/>
    <w:rsid w:val="00870483"/>
    <w:rsid w:val="00872CB1"/>
    <w:rsid w:val="008739F5"/>
    <w:rsid w:val="00893397"/>
    <w:rsid w:val="00896C0B"/>
    <w:rsid w:val="00896E08"/>
    <w:rsid w:val="008974AA"/>
    <w:rsid w:val="008A0A33"/>
    <w:rsid w:val="008A6549"/>
    <w:rsid w:val="008A685D"/>
    <w:rsid w:val="008B124A"/>
    <w:rsid w:val="008B34C3"/>
    <w:rsid w:val="008B74B2"/>
    <w:rsid w:val="008C0901"/>
    <w:rsid w:val="008C1E18"/>
    <w:rsid w:val="008C7B6D"/>
    <w:rsid w:val="008E065E"/>
    <w:rsid w:val="008E6344"/>
    <w:rsid w:val="00904B90"/>
    <w:rsid w:val="009104BA"/>
    <w:rsid w:val="00912A9F"/>
    <w:rsid w:val="00915D9D"/>
    <w:rsid w:val="00920238"/>
    <w:rsid w:val="00920DBB"/>
    <w:rsid w:val="00922DA9"/>
    <w:rsid w:val="0093481D"/>
    <w:rsid w:val="00936E92"/>
    <w:rsid w:val="009451B2"/>
    <w:rsid w:val="00956065"/>
    <w:rsid w:val="0096404E"/>
    <w:rsid w:val="00966527"/>
    <w:rsid w:val="009675FC"/>
    <w:rsid w:val="009807E1"/>
    <w:rsid w:val="0098097D"/>
    <w:rsid w:val="00982987"/>
    <w:rsid w:val="00984D5B"/>
    <w:rsid w:val="00992A9A"/>
    <w:rsid w:val="00993D64"/>
    <w:rsid w:val="009A1BFE"/>
    <w:rsid w:val="009A6F65"/>
    <w:rsid w:val="009C1F34"/>
    <w:rsid w:val="009D12F7"/>
    <w:rsid w:val="009D7FA3"/>
    <w:rsid w:val="009E266B"/>
    <w:rsid w:val="009E4D12"/>
    <w:rsid w:val="009E5894"/>
    <w:rsid w:val="009E6210"/>
    <w:rsid w:val="00A005FF"/>
    <w:rsid w:val="00A0070B"/>
    <w:rsid w:val="00A06FB6"/>
    <w:rsid w:val="00A12993"/>
    <w:rsid w:val="00A15050"/>
    <w:rsid w:val="00A172DB"/>
    <w:rsid w:val="00A21DA4"/>
    <w:rsid w:val="00A22C80"/>
    <w:rsid w:val="00A24679"/>
    <w:rsid w:val="00A3333B"/>
    <w:rsid w:val="00A37302"/>
    <w:rsid w:val="00A46793"/>
    <w:rsid w:val="00A47611"/>
    <w:rsid w:val="00A54F43"/>
    <w:rsid w:val="00A56AAA"/>
    <w:rsid w:val="00A7097D"/>
    <w:rsid w:val="00A74280"/>
    <w:rsid w:val="00A941FF"/>
    <w:rsid w:val="00A952CC"/>
    <w:rsid w:val="00A96D50"/>
    <w:rsid w:val="00AA209E"/>
    <w:rsid w:val="00AB74FF"/>
    <w:rsid w:val="00AC2844"/>
    <w:rsid w:val="00AC6BA6"/>
    <w:rsid w:val="00AE2F39"/>
    <w:rsid w:val="00AE7FE2"/>
    <w:rsid w:val="00AF01DA"/>
    <w:rsid w:val="00AF1596"/>
    <w:rsid w:val="00AF1CB6"/>
    <w:rsid w:val="00B1062A"/>
    <w:rsid w:val="00B1103C"/>
    <w:rsid w:val="00B13048"/>
    <w:rsid w:val="00B17264"/>
    <w:rsid w:val="00B210EE"/>
    <w:rsid w:val="00B259E7"/>
    <w:rsid w:val="00B37A8A"/>
    <w:rsid w:val="00B435AE"/>
    <w:rsid w:val="00B47DAE"/>
    <w:rsid w:val="00B5015D"/>
    <w:rsid w:val="00B51511"/>
    <w:rsid w:val="00B52162"/>
    <w:rsid w:val="00B52188"/>
    <w:rsid w:val="00B7180C"/>
    <w:rsid w:val="00B87912"/>
    <w:rsid w:val="00B9194B"/>
    <w:rsid w:val="00B91C66"/>
    <w:rsid w:val="00B928E6"/>
    <w:rsid w:val="00BA2B36"/>
    <w:rsid w:val="00BA72B9"/>
    <w:rsid w:val="00BC108D"/>
    <w:rsid w:val="00BC1509"/>
    <w:rsid w:val="00BC1ABF"/>
    <w:rsid w:val="00BE417C"/>
    <w:rsid w:val="00BE5B41"/>
    <w:rsid w:val="00BE6A71"/>
    <w:rsid w:val="00BF1FF0"/>
    <w:rsid w:val="00BF7C95"/>
    <w:rsid w:val="00C00141"/>
    <w:rsid w:val="00C01B9B"/>
    <w:rsid w:val="00C2098E"/>
    <w:rsid w:val="00C20E10"/>
    <w:rsid w:val="00C243D8"/>
    <w:rsid w:val="00C342BF"/>
    <w:rsid w:val="00C3709A"/>
    <w:rsid w:val="00C459A4"/>
    <w:rsid w:val="00C50370"/>
    <w:rsid w:val="00C508D9"/>
    <w:rsid w:val="00C51D07"/>
    <w:rsid w:val="00C54AA6"/>
    <w:rsid w:val="00C54D8E"/>
    <w:rsid w:val="00C57A8B"/>
    <w:rsid w:val="00C615F3"/>
    <w:rsid w:val="00C6532E"/>
    <w:rsid w:val="00C669DA"/>
    <w:rsid w:val="00C7533C"/>
    <w:rsid w:val="00C97E4B"/>
    <w:rsid w:val="00CB7DEA"/>
    <w:rsid w:val="00CD0907"/>
    <w:rsid w:val="00CD5467"/>
    <w:rsid w:val="00CF10B8"/>
    <w:rsid w:val="00D0114A"/>
    <w:rsid w:val="00D031C9"/>
    <w:rsid w:val="00D101C7"/>
    <w:rsid w:val="00D13955"/>
    <w:rsid w:val="00D36465"/>
    <w:rsid w:val="00D53213"/>
    <w:rsid w:val="00D5472F"/>
    <w:rsid w:val="00D556BB"/>
    <w:rsid w:val="00D557B8"/>
    <w:rsid w:val="00D571E5"/>
    <w:rsid w:val="00D57253"/>
    <w:rsid w:val="00D57F15"/>
    <w:rsid w:val="00D64C99"/>
    <w:rsid w:val="00D702C7"/>
    <w:rsid w:val="00D72D9B"/>
    <w:rsid w:val="00D863F2"/>
    <w:rsid w:val="00D939F6"/>
    <w:rsid w:val="00D94952"/>
    <w:rsid w:val="00D95912"/>
    <w:rsid w:val="00DB75D0"/>
    <w:rsid w:val="00DC3118"/>
    <w:rsid w:val="00DC3BC5"/>
    <w:rsid w:val="00DE3902"/>
    <w:rsid w:val="00DF27C4"/>
    <w:rsid w:val="00DF6E28"/>
    <w:rsid w:val="00E01FF6"/>
    <w:rsid w:val="00E12B36"/>
    <w:rsid w:val="00E15013"/>
    <w:rsid w:val="00E235D3"/>
    <w:rsid w:val="00E40DB5"/>
    <w:rsid w:val="00E46C75"/>
    <w:rsid w:val="00E52C7F"/>
    <w:rsid w:val="00E55DED"/>
    <w:rsid w:val="00E561E4"/>
    <w:rsid w:val="00E66F97"/>
    <w:rsid w:val="00E72F83"/>
    <w:rsid w:val="00E85898"/>
    <w:rsid w:val="00EA2EA1"/>
    <w:rsid w:val="00EB4666"/>
    <w:rsid w:val="00EC2B01"/>
    <w:rsid w:val="00EC3FA0"/>
    <w:rsid w:val="00EC57A6"/>
    <w:rsid w:val="00ED6929"/>
    <w:rsid w:val="00EE32E3"/>
    <w:rsid w:val="00EE4881"/>
    <w:rsid w:val="00EF63ED"/>
    <w:rsid w:val="00F04758"/>
    <w:rsid w:val="00F062B2"/>
    <w:rsid w:val="00F11896"/>
    <w:rsid w:val="00F11B8F"/>
    <w:rsid w:val="00F16829"/>
    <w:rsid w:val="00F1744F"/>
    <w:rsid w:val="00F2023F"/>
    <w:rsid w:val="00F20F94"/>
    <w:rsid w:val="00F253C8"/>
    <w:rsid w:val="00F273A7"/>
    <w:rsid w:val="00F37AFA"/>
    <w:rsid w:val="00F40881"/>
    <w:rsid w:val="00F435EE"/>
    <w:rsid w:val="00F46ED8"/>
    <w:rsid w:val="00F51519"/>
    <w:rsid w:val="00F55108"/>
    <w:rsid w:val="00F610D6"/>
    <w:rsid w:val="00F6268C"/>
    <w:rsid w:val="00F747C1"/>
    <w:rsid w:val="00F83428"/>
    <w:rsid w:val="00F84B60"/>
    <w:rsid w:val="00F85ACC"/>
    <w:rsid w:val="00F9238A"/>
    <w:rsid w:val="00F96C33"/>
    <w:rsid w:val="00FA7679"/>
    <w:rsid w:val="00FB163C"/>
    <w:rsid w:val="00FB3EB9"/>
    <w:rsid w:val="00FB75FA"/>
    <w:rsid w:val="00FC0D17"/>
    <w:rsid w:val="00FC2CF4"/>
    <w:rsid w:val="00FD2B09"/>
    <w:rsid w:val="00FE42EB"/>
    <w:rsid w:val="00FE4B2B"/>
    <w:rsid w:val="00FF1CA7"/>
    <w:rsid w:val="0A320290"/>
    <w:rsid w:val="1347940D"/>
    <w:rsid w:val="137A064E"/>
    <w:rsid w:val="16120F1A"/>
    <w:rsid w:val="192627E4"/>
    <w:rsid w:val="22A17CDB"/>
    <w:rsid w:val="2C46DC17"/>
    <w:rsid w:val="3BA741F5"/>
    <w:rsid w:val="45388EE6"/>
    <w:rsid w:val="595842C7"/>
    <w:rsid w:val="60039AF4"/>
    <w:rsid w:val="602710F7"/>
    <w:rsid w:val="6044231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725E"/>
  <w15:chartTrackingRefBased/>
  <w15:docId w15:val="{B8214BC2-2E0A-404D-B345-AA8C5C14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5A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4A0"/>
    <w:pPr>
      <w:ind w:left="720"/>
      <w:contextualSpacing/>
    </w:pPr>
  </w:style>
  <w:style w:type="character" w:styleId="Hyperlink">
    <w:name w:val="Hyperlink"/>
    <w:basedOn w:val="DefaultParagraphFont"/>
    <w:uiPriority w:val="99"/>
    <w:unhideWhenUsed/>
    <w:rsid w:val="004B45E3"/>
    <w:rPr>
      <w:color w:val="0563C1" w:themeColor="hyperlink"/>
      <w:u w:val="single"/>
    </w:rPr>
  </w:style>
  <w:style w:type="character" w:customStyle="1" w:styleId="UnresolvedMention1">
    <w:name w:val="Unresolved Mention1"/>
    <w:basedOn w:val="DefaultParagraphFont"/>
    <w:uiPriority w:val="99"/>
    <w:semiHidden/>
    <w:unhideWhenUsed/>
    <w:rsid w:val="004B45E3"/>
    <w:rPr>
      <w:color w:val="808080"/>
      <w:shd w:val="clear" w:color="auto" w:fill="E6E6E6"/>
    </w:rPr>
  </w:style>
  <w:style w:type="paragraph" w:styleId="NormalWeb">
    <w:name w:val="Normal (Web)"/>
    <w:basedOn w:val="Normal"/>
    <w:uiPriority w:val="99"/>
    <w:unhideWhenUsed/>
    <w:rsid w:val="004B45E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CommentReference">
    <w:name w:val="annotation reference"/>
    <w:basedOn w:val="DefaultParagraphFont"/>
    <w:uiPriority w:val="99"/>
    <w:semiHidden/>
    <w:unhideWhenUsed/>
    <w:rsid w:val="005D34B5"/>
    <w:rPr>
      <w:sz w:val="16"/>
      <w:szCs w:val="16"/>
    </w:rPr>
  </w:style>
  <w:style w:type="paragraph" w:styleId="CommentText">
    <w:name w:val="annotation text"/>
    <w:basedOn w:val="Normal"/>
    <w:link w:val="CommentTextChar"/>
    <w:uiPriority w:val="99"/>
    <w:unhideWhenUsed/>
    <w:rsid w:val="005D34B5"/>
    <w:pPr>
      <w:spacing w:line="240" w:lineRule="auto"/>
    </w:pPr>
    <w:rPr>
      <w:sz w:val="20"/>
      <w:szCs w:val="20"/>
    </w:rPr>
  </w:style>
  <w:style w:type="character" w:customStyle="1" w:styleId="CommentTextChar">
    <w:name w:val="Comment Text Char"/>
    <w:basedOn w:val="DefaultParagraphFont"/>
    <w:link w:val="CommentText"/>
    <w:uiPriority w:val="99"/>
    <w:rsid w:val="005D34B5"/>
    <w:rPr>
      <w:sz w:val="20"/>
      <w:szCs w:val="20"/>
    </w:rPr>
  </w:style>
  <w:style w:type="paragraph" w:styleId="CommentSubject">
    <w:name w:val="annotation subject"/>
    <w:basedOn w:val="CommentText"/>
    <w:next w:val="CommentText"/>
    <w:link w:val="CommentSubjectChar"/>
    <w:uiPriority w:val="99"/>
    <w:semiHidden/>
    <w:unhideWhenUsed/>
    <w:rsid w:val="005D34B5"/>
    <w:rPr>
      <w:b/>
      <w:bCs/>
    </w:rPr>
  </w:style>
  <w:style w:type="character" w:customStyle="1" w:styleId="CommentSubjectChar">
    <w:name w:val="Comment Subject Char"/>
    <w:basedOn w:val="CommentTextChar"/>
    <w:link w:val="CommentSubject"/>
    <w:uiPriority w:val="99"/>
    <w:semiHidden/>
    <w:rsid w:val="005D34B5"/>
    <w:rPr>
      <w:b/>
      <w:bCs/>
      <w:sz w:val="20"/>
      <w:szCs w:val="20"/>
    </w:rPr>
  </w:style>
  <w:style w:type="paragraph" w:styleId="BalloonText">
    <w:name w:val="Balloon Text"/>
    <w:basedOn w:val="Normal"/>
    <w:link w:val="BalloonTextChar"/>
    <w:uiPriority w:val="99"/>
    <w:semiHidden/>
    <w:unhideWhenUsed/>
    <w:rsid w:val="005D3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4B5"/>
    <w:rPr>
      <w:rFonts w:ascii="Segoe UI" w:hAnsi="Segoe UI" w:cs="Segoe UI"/>
      <w:sz w:val="18"/>
      <w:szCs w:val="18"/>
    </w:rPr>
  </w:style>
  <w:style w:type="character" w:customStyle="1" w:styleId="Heading1Char">
    <w:name w:val="Heading 1 Char"/>
    <w:basedOn w:val="DefaultParagraphFont"/>
    <w:link w:val="Heading1"/>
    <w:uiPriority w:val="9"/>
    <w:rsid w:val="00475A46"/>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A24679"/>
    <w:rPr>
      <w:color w:val="954F72" w:themeColor="followedHyperlink"/>
      <w:u w:val="single"/>
    </w:rPr>
  </w:style>
  <w:style w:type="character" w:customStyle="1" w:styleId="cui-groupbody">
    <w:name w:val="cui-groupbody"/>
    <w:basedOn w:val="DefaultParagraphFont"/>
    <w:rsid w:val="00B51511"/>
  </w:style>
  <w:style w:type="paragraph" w:customStyle="1" w:styleId="paragraph">
    <w:name w:val="paragraph"/>
    <w:basedOn w:val="Normal"/>
    <w:rsid w:val="00A15050"/>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DefaultParagraphFont"/>
    <w:rsid w:val="00A15050"/>
  </w:style>
  <w:style w:type="character" w:customStyle="1" w:styleId="eop">
    <w:name w:val="eop"/>
    <w:basedOn w:val="DefaultParagraphFont"/>
    <w:rsid w:val="00A15050"/>
  </w:style>
  <w:style w:type="character" w:customStyle="1" w:styleId="spellingerror">
    <w:name w:val="spellingerror"/>
    <w:basedOn w:val="DefaultParagraphFont"/>
    <w:rsid w:val="00A15050"/>
  </w:style>
  <w:style w:type="paragraph" w:customStyle="1" w:styleId="commentcontentpara">
    <w:name w:val="commentcontentpara"/>
    <w:basedOn w:val="Normal"/>
    <w:rsid w:val="00A1505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Revision">
    <w:name w:val="Revision"/>
    <w:hidden/>
    <w:uiPriority w:val="99"/>
    <w:semiHidden/>
    <w:rsid w:val="000013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5807">
      <w:bodyDiv w:val="1"/>
      <w:marLeft w:val="0"/>
      <w:marRight w:val="0"/>
      <w:marTop w:val="0"/>
      <w:marBottom w:val="0"/>
      <w:divBdr>
        <w:top w:val="none" w:sz="0" w:space="0" w:color="auto"/>
        <w:left w:val="none" w:sz="0" w:space="0" w:color="auto"/>
        <w:bottom w:val="none" w:sz="0" w:space="0" w:color="auto"/>
        <w:right w:val="none" w:sz="0" w:space="0" w:color="auto"/>
      </w:divBdr>
    </w:div>
    <w:div w:id="183786065">
      <w:bodyDiv w:val="1"/>
      <w:marLeft w:val="0"/>
      <w:marRight w:val="0"/>
      <w:marTop w:val="0"/>
      <w:marBottom w:val="0"/>
      <w:divBdr>
        <w:top w:val="none" w:sz="0" w:space="0" w:color="auto"/>
        <w:left w:val="none" w:sz="0" w:space="0" w:color="auto"/>
        <w:bottom w:val="none" w:sz="0" w:space="0" w:color="auto"/>
        <w:right w:val="none" w:sz="0" w:space="0" w:color="auto"/>
      </w:divBdr>
    </w:div>
    <w:div w:id="436103414">
      <w:bodyDiv w:val="1"/>
      <w:marLeft w:val="0"/>
      <w:marRight w:val="0"/>
      <w:marTop w:val="0"/>
      <w:marBottom w:val="0"/>
      <w:divBdr>
        <w:top w:val="none" w:sz="0" w:space="0" w:color="auto"/>
        <w:left w:val="none" w:sz="0" w:space="0" w:color="auto"/>
        <w:bottom w:val="none" w:sz="0" w:space="0" w:color="auto"/>
        <w:right w:val="none" w:sz="0" w:space="0" w:color="auto"/>
      </w:divBdr>
      <w:divsChild>
        <w:div w:id="1292244777">
          <w:marLeft w:val="0"/>
          <w:marRight w:val="0"/>
          <w:marTop w:val="0"/>
          <w:marBottom w:val="0"/>
          <w:divBdr>
            <w:top w:val="none" w:sz="0" w:space="0" w:color="auto"/>
            <w:left w:val="none" w:sz="0" w:space="0" w:color="auto"/>
            <w:bottom w:val="none" w:sz="0" w:space="0" w:color="auto"/>
            <w:right w:val="none" w:sz="0" w:space="0" w:color="auto"/>
          </w:divBdr>
        </w:div>
      </w:divsChild>
    </w:div>
    <w:div w:id="662507109">
      <w:bodyDiv w:val="1"/>
      <w:marLeft w:val="0"/>
      <w:marRight w:val="0"/>
      <w:marTop w:val="0"/>
      <w:marBottom w:val="0"/>
      <w:divBdr>
        <w:top w:val="none" w:sz="0" w:space="0" w:color="auto"/>
        <w:left w:val="none" w:sz="0" w:space="0" w:color="auto"/>
        <w:bottom w:val="none" w:sz="0" w:space="0" w:color="auto"/>
        <w:right w:val="none" w:sz="0" w:space="0" w:color="auto"/>
      </w:divBdr>
      <w:divsChild>
        <w:div w:id="476992008">
          <w:marLeft w:val="0"/>
          <w:marRight w:val="0"/>
          <w:marTop w:val="0"/>
          <w:marBottom w:val="0"/>
          <w:divBdr>
            <w:top w:val="none" w:sz="0" w:space="0" w:color="auto"/>
            <w:left w:val="none" w:sz="0" w:space="0" w:color="auto"/>
            <w:bottom w:val="none" w:sz="0" w:space="0" w:color="auto"/>
            <w:right w:val="none" w:sz="0" w:space="0" w:color="auto"/>
          </w:divBdr>
        </w:div>
      </w:divsChild>
    </w:div>
    <w:div w:id="785582939">
      <w:bodyDiv w:val="1"/>
      <w:marLeft w:val="0"/>
      <w:marRight w:val="0"/>
      <w:marTop w:val="0"/>
      <w:marBottom w:val="0"/>
      <w:divBdr>
        <w:top w:val="none" w:sz="0" w:space="0" w:color="auto"/>
        <w:left w:val="none" w:sz="0" w:space="0" w:color="auto"/>
        <w:bottom w:val="none" w:sz="0" w:space="0" w:color="auto"/>
        <w:right w:val="none" w:sz="0" w:space="0" w:color="auto"/>
      </w:divBdr>
    </w:div>
    <w:div w:id="886992194">
      <w:bodyDiv w:val="1"/>
      <w:marLeft w:val="0"/>
      <w:marRight w:val="0"/>
      <w:marTop w:val="0"/>
      <w:marBottom w:val="0"/>
      <w:divBdr>
        <w:top w:val="none" w:sz="0" w:space="0" w:color="auto"/>
        <w:left w:val="none" w:sz="0" w:space="0" w:color="auto"/>
        <w:bottom w:val="none" w:sz="0" w:space="0" w:color="auto"/>
        <w:right w:val="none" w:sz="0" w:space="0" w:color="auto"/>
      </w:divBdr>
    </w:div>
    <w:div w:id="1005203596">
      <w:bodyDiv w:val="1"/>
      <w:marLeft w:val="0"/>
      <w:marRight w:val="0"/>
      <w:marTop w:val="0"/>
      <w:marBottom w:val="0"/>
      <w:divBdr>
        <w:top w:val="none" w:sz="0" w:space="0" w:color="auto"/>
        <w:left w:val="none" w:sz="0" w:space="0" w:color="auto"/>
        <w:bottom w:val="none" w:sz="0" w:space="0" w:color="auto"/>
        <w:right w:val="none" w:sz="0" w:space="0" w:color="auto"/>
      </w:divBdr>
      <w:divsChild>
        <w:div w:id="769005654">
          <w:marLeft w:val="0"/>
          <w:marRight w:val="0"/>
          <w:marTop w:val="0"/>
          <w:marBottom w:val="0"/>
          <w:divBdr>
            <w:top w:val="none" w:sz="0" w:space="0" w:color="auto"/>
            <w:left w:val="none" w:sz="0" w:space="0" w:color="auto"/>
            <w:bottom w:val="none" w:sz="0" w:space="0" w:color="auto"/>
            <w:right w:val="none" w:sz="0" w:space="0" w:color="auto"/>
          </w:divBdr>
        </w:div>
      </w:divsChild>
    </w:div>
    <w:div w:id="1398093866">
      <w:bodyDiv w:val="1"/>
      <w:marLeft w:val="0"/>
      <w:marRight w:val="0"/>
      <w:marTop w:val="0"/>
      <w:marBottom w:val="0"/>
      <w:divBdr>
        <w:top w:val="none" w:sz="0" w:space="0" w:color="auto"/>
        <w:left w:val="none" w:sz="0" w:space="0" w:color="auto"/>
        <w:bottom w:val="none" w:sz="0" w:space="0" w:color="auto"/>
        <w:right w:val="none" w:sz="0" w:space="0" w:color="auto"/>
      </w:divBdr>
    </w:div>
    <w:div w:id="1466654886">
      <w:bodyDiv w:val="1"/>
      <w:marLeft w:val="0"/>
      <w:marRight w:val="0"/>
      <w:marTop w:val="0"/>
      <w:marBottom w:val="0"/>
      <w:divBdr>
        <w:top w:val="none" w:sz="0" w:space="0" w:color="auto"/>
        <w:left w:val="none" w:sz="0" w:space="0" w:color="auto"/>
        <w:bottom w:val="none" w:sz="0" w:space="0" w:color="auto"/>
        <w:right w:val="none" w:sz="0" w:space="0" w:color="auto"/>
      </w:divBdr>
      <w:divsChild>
        <w:div w:id="239558615">
          <w:marLeft w:val="0"/>
          <w:marRight w:val="0"/>
          <w:marTop w:val="0"/>
          <w:marBottom w:val="0"/>
          <w:divBdr>
            <w:top w:val="none" w:sz="0" w:space="0" w:color="auto"/>
            <w:left w:val="none" w:sz="0" w:space="0" w:color="auto"/>
            <w:bottom w:val="none" w:sz="0" w:space="0" w:color="auto"/>
            <w:right w:val="none" w:sz="0" w:space="0" w:color="auto"/>
          </w:divBdr>
        </w:div>
      </w:divsChild>
    </w:div>
    <w:div w:id="1524172614">
      <w:bodyDiv w:val="1"/>
      <w:marLeft w:val="0"/>
      <w:marRight w:val="0"/>
      <w:marTop w:val="0"/>
      <w:marBottom w:val="0"/>
      <w:divBdr>
        <w:top w:val="none" w:sz="0" w:space="0" w:color="auto"/>
        <w:left w:val="none" w:sz="0" w:space="0" w:color="auto"/>
        <w:bottom w:val="none" w:sz="0" w:space="0" w:color="auto"/>
        <w:right w:val="none" w:sz="0" w:space="0" w:color="auto"/>
      </w:divBdr>
      <w:divsChild>
        <w:div w:id="1599019949">
          <w:marLeft w:val="0"/>
          <w:marRight w:val="0"/>
          <w:marTop w:val="0"/>
          <w:marBottom w:val="0"/>
          <w:divBdr>
            <w:top w:val="none" w:sz="0" w:space="0" w:color="auto"/>
            <w:left w:val="none" w:sz="0" w:space="0" w:color="auto"/>
            <w:bottom w:val="none" w:sz="0" w:space="0" w:color="auto"/>
            <w:right w:val="none" w:sz="0" w:space="0" w:color="auto"/>
          </w:divBdr>
        </w:div>
      </w:divsChild>
    </w:div>
    <w:div w:id="1819566991">
      <w:bodyDiv w:val="1"/>
      <w:marLeft w:val="0"/>
      <w:marRight w:val="0"/>
      <w:marTop w:val="0"/>
      <w:marBottom w:val="0"/>
      <w:divBdr>
        <w:top w:val="none" w:sz="0" w:space="0" w:color="auto"/>
        <w:left w:val="none" w:sz="0" w:space="0" w:color="auto"/>
        <w:bottom w:val="none" w:sz="0" w:space="0" w:color="auto"/>
        <w:right w:val="none" w:sz="0" w:space="0" w:color="auto"/>
      </w:divBdr>
    </w:div>
    <w:div w:id="1825508089">
      <w:bodyDiv w:val="1"/>
      <w:marLeft w:val="0"/>
      <w:marRight w:val="0"/>
      <w:marTop w:val="0"/>
      <w:marBottom w:val="0"/>
      <w:divBdr>
        <w:top w:val="none" w:sz="0" w:space="0" w:color="auto"/>
        <w:left w:val="none" w:sz="0" w:space="0" w:color="auto"/>
        <w:bottom w:val="none" w:sz="0" w:space="0" w:color="auto"/>
        <w:right w:val="none" w:sz="0" w:space="0" w:color="auto"/>
      </w:divBdr>
    </w:div>
    <w:div w:id="2000959710">
      <w:bodyDiv w:val="1"/>
      <w:marLeft w:val="0"/>
      <w:marRight w:val="0"/>
      <w:marTop w:val="0"/>
      <w:marBottom w:val="0"/>
      <w:divBdr>
        <w:top w:val="none" w:sz="0" w:space="0" w:color="auto"/>
        <w:left w:val="none" w:sz="0" w:space="0" w:color="auto"/>
        <w:bottom w:val="none" w:sz="0" w:space="0" w:color="auto"/>
        <w:right w:val="none" w:sz="0" w:space="0" w:color="auto"/>
      </w:divBdr>
      <w:divsChild>
        <w:div w:id="1910967543">
          <w:marLeft w:val="0"/>
          <w:marRight w:val="0"/>
          <w:marTop w:val="0"/>
          <w:marBottom w:val="0"/>
          <w:divBdr>
            <w:top w:val="none" w:sz="0" w:space="0" w:color="auto"/>
            <w:left w:val="none" w:sz="0" w:space="0" w:color="auto"/>
            <w:bottom w:val="none" w:sz="0" w:space="0" w:color="auto"/>
            <w:right w:val="none" w:sz="0" w:space="0" w:color="auto"/>
          </w:divBdr>
        </w:div>
      </w:divsChild>
    </w:div>
    <w:div w:id="208536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elsinki.fi/fi/tutkimus/tutkimusymparisto/tutkimusetiik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20021-668A-4479-B89A-51B79DD4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1681</Words>
  <Characters>13623</Characters>
  <Application>Microsoft Office Word</Application>
  <DocSecurity>4</DocSecurity>
  <Lines>113</Lines>
  <Paragraphs>30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15274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dc:creator>
  <cp:keywords/>
  <dc:description/>
  <cp:lastModifiedBy>Valento, Miia P</cp:lastModifiedBy>
  <cp:revision>2</cp:revision>
  <cp:lastPrinted>2018-11-20T08:54:00Z</cp:lastPrinted>
  <dcterms:created xsi:type="dcterms:W3CDTF">2018-11-27T06:51:00Z</dcterms:created>
  <dcterms:modified xsi:type="dcterms:W3CDTF">2018-11-27T06:51:00Z</dcterms:modified>
</cp:coreProperties>
</file>