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3C5A" w:rsidRDefault="004C6F2F">
      <w:pPr>
        <w:tabs>
          <w:tab w:val="center" w:pos="4819"/>
          <w:tab w:val="right" w:pos="9638"/>
        </w:tabs>
      </w:pPr>
      <w:r>
        <w:rPr>
          <w:b/>
          <w:highlight w:val="yellow"/>
        </w:rPr>
        <w:t>Tuntisuunnitelma</w:t>
      </w:r>
      <w:r>
        <w:rPr>
          <w:b/>
        </w:rPr>
        <w:t xml:space="preserve"> </w:t>
      </w:r>
    </w:p>
    <w:p w:rsidR="00C93C5A" w:rsidRDefault="00C93C5A"/>
    <w:p w:rsidR="004C6F2F" w:rsidRDefault="004C6F2F" w:rsidP="004C6F2F">
      <w:pPr>
        <w:tabs>
          <w:tab w:val="center" w:pos="4819"/>
          <w:tab w:val="right" w:pos="9638"/>
        </w:tabs>
      </w:pPr>
      <w:r>
        <w:rPr>
          <w:b/>
          <w:highlight w:val="yellow"/>
        </w:rPr>
        <w:t>ET:n tuntisuunnitelma</w:t>
      </w:r>
      <w:r>
        <w:rPr>
          <w:b/>
        </w:rPr>
        <w:t xml:space="preserve"> </w:t>
      </w:r>
    </w:p>
    <w:p w:rsidR="004C6F2F" w:rsidRDefault="004C6F2F" w:rsidP="004C6F2F"/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8"/>
      </w:tblGrid>
      <w:tr w:rsidR="004C6F2F" w:rsidTr="004C6F2F">
        <w:trPr>
          <w:trHeight w:val="440"/>
        </w:trPr>
        <w:tc>
          <w:tcPr>
            <w:tcW w:w="1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F2F" w:rsidRDefault="004C6F2F">
            <w:r>
              <w:rPr>
                <w:highlight w:val="yellow"/>
              </w:rPr>
              <w:t>Luokka:</w:t>
            </w:r>
            <w:r>
              <w:t xml:space="preserve"> 4 lk</w:t>
            </w:r>
          </w:p>
          <w:p w:rsidR="004C6F2F" w:rsidRDefault="004C6F2F"/>
          <w:p w:rsidR="004C6F2F" w:rsidRDefault="004C6F2F">
            <w:r>
              <w:rPr>
                <w:highlight w:val="yellow"/>
              </w:rPr>
              <w:t>Tunnin aihe:</w:t>
            </w:r>
            <w:r>
              <w:t xml:space="preserve"> </w:t>
            </w:r>
            <w:bookmarkStart w:id="0" w:name="_GoBack"/>
            <w:r w:rsidRPr="004C6F2F">
              <w:t>Yksilöllinen vastuullisuus, yhteisten sääntöjen merkitys</w:t>
            </w:r>
            <w:bookmarkEnd w:id="0"/>
          </w:p>
          <w:p w:rsidR="004C6F2F" w:rsidRDefault="004C6F2F"/>
        </w:tc>
      </w:tr>
    </w:tbl>
    <w:p w:rsidR="004C6F2F" w:rsidRDefault="004C6F2F" w:rsidP="004C6F2F"/>
    <w:p w:rsidR="004C6F2F" w:rsidRDefault="004C6F2F" w:rsidP="004C6F2F"/>
    <w:p w:rsidR="004C6F2F" w:rsidRDefault="004C6F2F" w:rsidP="004C6F2F">
      <w:r>
        <w:rPr>
          <w:b/>
          <w:highlight w:val="yellow"/>
        </w:rPr>
        <w:t>Tunnin eteneminen</w:t>
      </w:r>
    </w:p>
    <w:p w:rsidR="00C93C5A" w:rsidRDefault="00C93C5A"/>
    <w:p w:rsidR="00C93C5A" w:rsidRDefault="004C6F2F">
      <w:r>
        <w:rPr>
          <w:b/>
          <w:highlight w:val="yellow"/>
        </w:rPr>
        <w:t>Tunnin eteneminen</w:t>
      </w:r>
    </w:p>
    <w:p w:rsidR="00C93C5A" w:rsidRDefault="00C93C5A"/>
    <w:tbl>
      <w:tblPr>
        <w:tblStyle w:val="a0"/>
        <w:tblW w:w="1529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150"/>
        <w:gridCol w:w="3119"/>
        <w:gridCol w:w="3685"/>
        <w:gridCol w:w="4379"/>
      </w:tblGrid>
      <w:tr w:rsidR="00C93C5A">
        <w:trPr>
          <w:trHeight w:val="340"/>
        </w:trPr>
        <w:tc>
          <w:tcPr>
            <w:tcW w:w="960" w:type="dxa"/>
            <w:vAlign w:val="center"/>
          </w:tcPr>
          <w:p w:rsidR="00C93C5A" w:rsidRDefault="004C6F2F">
            <w:r>
              <w:t>Aika</w:t>
            </w:r>
            <w:r>
              <w:br/>
              <w:t>pvm / klo</w:t>
            </w:r>
          </w:p>
        </w:tc>
        <w:tc>
          <w:tcPr>
            <w:tcW w:w="3150" w:type="dxa"/>
            <w:vAlign w:val="center"/>
          </w:tcPr>
          <w:p w:rsidR="00C93C5A" w:rsidRDefault="004C6F2F">
            <w:r>
              <w:t xml:space="preserve">Tavoitteet </w:t>
            </w:r>
          </w:p>
        </w:tc>
        <w:tc>
          <w:tcPr>
            <w:tcW w:w="3119" w:type="dxa"/>
            <w:vAlign w:val="center"/>
          </w:tcPr>
          <w:p w:rsidR="00C93C5A" w:rsidRDefault="004C6F2F">
            <w:r>
              <w:t>Oppiaines ja sisällöt</w:t>
            </w:r>
          </w:p>
        </w:tc>
        <w:tc>
          <w:tcPr>
            <w:tcW w:w="3685" w:type="dxa"/>
            <w:vAlign w:val="center"/>
          </w:tcPr>
          <w:p w:rsidR="00C93C5A" w:rsidRDefault="004C6F2F">
            <w:r>
              <w:t>Menetelmät ja toimintatavat</w:t>
            </w:r>
          </w:p>
        </w:tc>
        <w:tc>
          <w:tcPr>
            <w:tcW w:w="4379" w:type="dxa"/>
            <w:vAlign w:val="center"/>
          </w:tcPr>
          <w:p w:rsidR="00C93C5A" w:rsidRDefault="004C6F2F">
            <w:r>
              <w:t>Muuta huomioitavaa (välineet, integrointi, eriyttäminen, arviointi)</w:t>
            </w:r>
          </w:p>
        </w:tc>
      </w:tr>
      <w:tr w:rsidR="00C93C5A">
        <w:trPr>
          <w:trHeight w:val="2540"/>
        </w:trPr>
        <w:tc>
          <w:tcPr>
            <w:tcW w:w="960" w:type="dxa"/>
          </w:tcPr>
          <w:p w:rsidR="00C93C5A" w:rsidRDefault="004C6F2F">
            <w:r>
              <w:t>15min</w:t>
            </w:r>
          </w:p>
        </w:tc>
        <w:tc>
          <w:tcPr>
            <w:tcW w:w="3150" w:type="dxa"/>
          </w:tcPr>
          <w:p w:rsidR="00C93C5A" w:rsidRDefault="004C6F2F">
            <w:r>
              <w:t>Oppilas palauttaa mieleen demokratian alkeita</w:t>
            </w:r>
          </w:p>
        </w:tc>
        <w:tc>
          <w:tcPr>
            <w:tcW w:w="3119" w:type="dxa"/>
          </w:tcPr>
          <w:p w:rsidR="00C93C5A" w:rsidRDefault="004C6F2F">
            <w:pPr>
              <w:spacing w:line="288" w:lineRule="auto"/>
            </w:pPr>
            <w:r>
              <w:t>Demokratian alkeet</w:t>
            </w:r>
          </w:p>
        </w:tc>
        <w:tc>
          <w:tcPr>
            <w:tcW w:w="3685" w:type="dxa"/>
          </w:tcPr>
          <w:p w:rsidR="00C93C5A" w:rsidRDefault="004C6F2F">
            <w:r>
              <w:t>Jaetaan oppilaille moniste, jossa on muutamia perustietoja demokratiasta sekä “tietovisakysymyksiä”.</w:t>
            </w:r>
          </w:p>
          <w:p w:rsidR="00C93C5A" w:rsidRDefault="00C93C5A"/>
          <w:p w:rsidR="00C93C5A" w:rsidRDefault="00C93C5A"/>
        </w:tc>
        <w:tc>
          <w:tcPr>
            <w:tcW w:w="4379" w:type="dxa"/>
          </w:tcPr>
          <w:p w:rsidR="00C93C5A" w:rsidRDefault="004C6F2F">
            <w:r>
              <w:rPr>
                <w:rFonts w:ascii="Nova Mono" w:eastAsia="Nova Mono" w:hAnsi="Nova Mono" w:cs="Nova Mono"/>
              </w:rPr>
              <w:t xml:space="preserve">Moniste → </w:t>
            </w:r>
            <w:r>
              <w:t>vihkoon liimaus</w:t>
            </w:r>
          </w:p>
        </w:tc>
      </w:tr>
      <w:tr w:rsidR="00C93C5A">
        <w:trPr>
          <w:trHeight w:val="4240"/>
        </w:trPr>
        <w:tc>
          <w:tcPr>
            <w:tcW w:w="960" w:type="dxa"/>
          </w:tcPr>
          <w:p w:rsidR="00C93C5A" w:rsidRDefault="004C6F2F">
            <w:r>
              <w:lastRenderedPageBreak/>
              <w:t>15 min</w:t>
            </w:r>
          </w:p>
          <w:p w:rsidR="00C93C5A" w:rsidRDefault="00C93C5A"/>
          <w:p w:rsidR="00C93C5A" w:rsidRDefault="00C93C5A"/>
          <w:p w:rsidR="00C93C5A" w:rsidRDefault="00C93C5A"/>
          <w:p w:rsidR="00C93C5A" w:rsidRDefault="00C93C5A"/>
        </w:tc>
        <w:tc>
          <w:tcPr>
            <w:tcW w:w="3150" w:type="dxa"/>
          </w:tcPr>
          <w:p w:rsidR="00C93C5A" w:rsidRDefault="004C6F2F">
            <w:r>
              <w:t xml:space="preserve">Oppilas ymmärtää, että omilla teoilla on seurauksia, joista kuuluu kantaa vastuu. </w:t>
            </w:r>
          </w:p>
          <w:p w:rsidR="00C93C5A" w:rsidRDefault="00C93C5A"/>
          <w:p w:rsidR="00C93C5A" w:rsidRDefault="004C6F2F">
            <w:r>
              <w:t>Oppilas pohtii yksilöllistä vastuullisuutta.</w:t>
            </w:r>
          </w:p>
          <w:p w:rsidR="00C93C5A" w:rsidRDefault="00C93C5A"/>
          <w:p w:rsidR="00C93C5A" w:rsidRDefault="00C93C5A"/>
          <w:p w:rsidR="00C93C5A" w:rsidRDefault="00C93C5A"/>
        </w:tc>
        <w:tc>
          <w:tcPr>
            <w:tcW w:w="3119" w:type="dxa"/>
          </w:tcPr>
          <w:p w:rsidR="00C93C5A" w:rsidRDefault="004C6F2F">
            <w:r>
              <w:t>Itsenäisyys ihmisenä: mitä voin vapaasti tehdä ja mitä en, miksi.</w:t>
            </w:r>
          </w:p>
          <w:p w:rsidR="00C93C5A" w:rsidRDefault="00C93C5A"/>
        </w:tc>
        <w:tc>
          <w:tcPr>
            <w:tcW w:w="3685" w:type="dxa"/>
          </w:tcPr>
          <w:p w:rsidR="00C93C5A" w:rsidRDefault="004C6F2F">
            <w:r>
              <w:t>Mielipidejana:</w:t>
            </w:r>
          </w:p>
          <w:p w:rsidR="00C93C5A" w:rsidRDefault="00C93C5A"/>
          <w:p w:rsidR="00C93C5A" w:rsidRDefault="004C6F2F">
            <w:r>
              <w:t>Luetaan väittämiä. Oppilas asettuu oman mielipiteensä mukaisesti janalle, jonka ääripäät ovat täysin samaa mieltä, täysin eri</w:t>
            </w:r>
            <w:r>
              <w:t xml:space="preserve">mieltä. </w:t>
            </w:r>
          </w:p>
          <w:p w:rsidR="00C93C5A" w:rsidRDefault="00C93C5A"/>
          <w:p w:rsidR="00C93C5A" w:rsidRDefault="004C6F2F">
            <w:r>
              <w:rPr>
                <w:rFonts w:ascii="Nova Mono" w:eastAsia="Nova Mono" w:hAnsi="Nova Mono" w:cs="Nova Mono"/>
              </w:rPr>
              <w:t>Minkä takia asetuit tähän kohtaan janaa? Perustele. → kysytään oppilailta ja keskustellaan yhdessä, “pariporinat”.</w:t>
            </w:r>
          </w:p>
          <w:p w:rsidR="00C93C5A" w:rsidRDefault="00C93C5A"/>
          <w:p w:rsidR="00C93C5A" w:rsidRDefault="004C6F2F">
            <w:r>
              <w:t xml:space="preserve">Haluatko vaihtaa perusteluita kuultuasi paikkaasi janalla? </w:t>
            </w:r>
          </w:p>
          <w:p w:rsidR="00C93C5A" w:rsidRDefault="00C93C5A"/>
        </w:tc>
        <w:tc>
          <w:tcPr>
            <w:tcW w:w="4379" w:type="dxa"/>
          </w:tcPr>
          <w:p w:rsidR="00C93C5A" w:rsidRDefault="004C6F2F">
            <w:r>
              <w:t>Pulpetit syrjään.</w:t>
            </w:r>
          </w:p>
          <w:p w:rsidR="00C93C5A" w:rsidRDefault="00C93C5A"/>
          <w:p w:rsidR="00C93C5A" w:rsidRDefault="004C6F2F">
            <w:r>
              <w:t>Väittämiä:</w:t>
            </w:r>
          </w:p>
          <w:p w:rsidR="00C93C5A" w:rsidRDefault="00C93C5A"/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Kotitehtävät tulee olla aina tehtynä a</w:t>
            </w:r>
            <w:r>
              <w:t>jallaan.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Luokkaretkellä opettajani on vastuussa turvallisuudestani.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Olen vastuussa luokkani yhteisistä tavaroista.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Voin vaikuttaa luokkani työrauhaan.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Mielestäni on tärkeää osallistua kotona kotitöiden tekoon.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Puutun kiusaamiseen, jos näen jotakuta kiusattavan.</w:t>
            </w:r>
          </w:p>
          <w:p w:rsidR="00C93C5A" w:rsidRDefault="004C6F2F">
            <w:pPr>
              <w:numPr>
                <w:ilvl w:val="0"/>
                <w:numId w:val="1"/>
              </w:numPr>
              <w:ind w:hanging="360"/>
              <w:contextualSpacing/>
            </w:pPr>
            <w:r>
              <w:t>Kaverini tiputtaa vahingossa älypuhelimeni maahan välitunnilla. Näyttö menee rikki. Kaverini on velvollinen korvaamaan vahingon.</w:t>
            </w:r>
          </w:p>
          <w:p w:rsidR="00C93C5A" w:rsidRDefault="004C6F2F">
            <w:r>
              <w:t xml:space="preserve"> </w:t>
            </w:r>
          </w:p>
          <w:p w:rsidR="00C93C5A" w:rsidRDefault="00C93C5A"/>
        </w:tc>
      </w:tr>
      <w:tr w:rsidR="00C93C5A">
        <w:trPr>
          <w:trHeight w:val="4240"/>
        </w:trPr>
        <w:tc>
          <w:tcPr>
            <w:tcW w:w="960" w:type="dxa"/>
          </w:tcPr>
          <w:p w:rsidR="00C93C5A" w:rsidRDefault="004C6F2F">
            <w:r>
              <w:lastRenderedPageBreak/>
              <w:t>15 min</w:t>
            </w:r>
          </w:p>
        </w:tc>
        <w:tc>
          <w:tcPr>
            <w:tcW w:w="3150" w:type="dxa"/>
          </w:tcPr>
          <w:p w:rsidR="00C93C5A" w:rsidRDefault="004C6F2F">
            <w:r>
              <w:t>Oppilas pohtii yhteisten sääntöjen merkitystä.</w:t>
            </w:r>
          </w:p>
          <w:p w:rsidR="00C93C5A" w:rsidRDefault="00C93C5A"/>
        </w:tc>
        <w:tc>
          <w:tcPr>
            <w:tcW w:w="3119" w:type="dxa"/>
          </w:tcPr>
          <w:p w:rsidR="00C93C5A" w:rsidRDefault="004C6F2F">
            <w:r>
              <w:t>Säännöt ja niide</w:t>
            </w:r>
            <w:r>
              <w:t>n noudattamisen merkitys</w:t>
            </w:r>
          </w:p>
        </w:tc>
        <w:tc>
          <w:tcPr>
            <w:tcW w:w="3685" w:type="dxa"/>
          </w:tcPr>
          <w:p w:rsidR="00C93C5A" w:rsidRDefault="004C6F2F">
            <w:r>
              <w:t xml:space="preserve">Pohditaan erilaisia sääntöjä, mihin sääntöjä tarvitaan ja missä niitä tarvitaan? </w:t>
            </w:r>
          </w:p>
          <w:p w:rsidR="00C93C5A" w:rsidRDefault="00C93C5A"/>
          <w:p w:rsidR="00C93C5A" w:rsidRDefault="004C6F2F">
            <w:r>
              <w:t xml:space="preserve">Kuka </w:t>
            </w:r>
            <w:proofErr w:type="gramStart"/>
            <w:r>
              <w:t>säännöt keksii</w:t>
            </w:r>
            <w:proofErr w:type="gramEnd"/>
            <w:r>
              <w:t>? Miksi on tärkeätä, että säännöistä voidaan sopia yhdessä?</w:t>
            </w:r>
          </w:p>
          <w:p w:rsidR="00C93C5A" w:rsidRDefault="00C93C5A"/>
          <w:p w:rsidR="00C93C5A" w:rsidRDefault="004C6F2F">
            <w:r>
              <w:t xml:space="preserve">Ovatko lait sääntöjä? </w:t>
            </w:r>
          </w:p>
          <w:p w:rsidR="00C93C5A" w:rsidRDefault="00C93C5A"/>
          <w:p w:rsidR="00C93C5A" w:rsidRDefault="004C6F2F">
            <w:r>
              <w:t>Luodaan yhteiset säännöt kouluruokailuun.</w:t>
            </w:r>
          </w:p>
        </w:tc>
        <w:tc>
          <w:tcPr>
            <w:tcW w:w="4379" w:type="dxa"/>
          </w:tcPr>
          <w:p w:rsidR="00C93C5A" w:rsidRDefault="004C6F2F">
            <w:r>
              <w:t>Pelit, leikit, liikenne jne.</w:t>
            </w:r>
          </w:p>
        </w:tc>
      </w:tr>
    </w:tbl>
    <w:p w:rsidR="00C93C5A" w:rsidRDefault="00C93C5A"/>
    <w:p w:rsidR="00C93C5A" w:rsidRDefault="00C93C5A"/>
    <w:p w:rsidR="00C93C5A" w:rsidRDefault="00C93C5A"/>
    <w:p w:rsidR="00C93C5A" w:rsidRDefault="00C93C5A"/>
    <w:sectPr w:rsidR="00C93C5A">
      <w:pgSz w:w="16838" w:h="11906"/>
      <w:pgMar w:top="907" w:right="851" w:bottom="90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F21"/>
    <w:multiLevelType w:val="multilevel"/>
    <w:tmpl w:val="5EE4AF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4C6F2F"/>
    <w:rsid w:val="00C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22BE-69DA-482B-896E-1C1AA4C4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2016-04-05T14:06:00Z</dcterms:created>
  <dcterms:modified xsi:type="dcterms:W3CDTF">2016-04-05T14:06:00Z</dcterms:modified>
</cp:coreProperties>
</file>