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C8C1" w14:textId="2A5D5ADB" w:rsidR="00DD78DC" w:rsidRPr="00355DB2" w:rsidRDefault="00355DB2" w:rsidP="002B46FE">
      <w:pPr>
        <w:spacing w:line="240" w:lineRule="auto"/>
        <w:jc w:val="center"/>
        <w:rPr>
          <w:b/>
          <w:bCs/>
          <w:color w:val="000000" w:themeColor="text1"/>
          <w:sz w:val="32"/>
          <w:szCs w:val="32"/>
          <w:lang w:val="en-GB"/>
        </w:rPr>
      </w:pPr>
      <w:bookmarkStart w:id="0" w:name="_Toc508114903"/>
      <w:r w:rsidRPr="00355DB2">
        <w:rPr>
          <w:b/>
          <w:bCs/>
          <w:sz w:val="32"/>
          <w:szCs w:val="32"/>
          <w:lang w:val="en-GB"/>
        </w:rPr>
        <w:t>OVER-MENTALIZING</w:t>
      </w:r>
      <w:bookmarkEnd w:id="0"/>
    </w:p>
    <w:p w14:paraId="7CDC85B4" w14:textId="77777777" w:rsidR="004615F1" w:rsidRPr="007F3944" w:rsidRDefault="004615F1" w:rsidP="002B46FE">
      <w:pPr>
        <w:spacing w:line="240" w:lineRule="auto"/>
        <w:rPr>
          <w:lang w:val="en-GB"/>
        </w:rPr>
      </w:pPr>
    </w:p>
    <w:p w14:paraId="4AE1AC80" w14:textId="77777777" w:rsidR="00C741BE" w:rsidRDefault="00C741BE" w:rsidP="002B46FE">
      <w:pPr>
        <w:spacing w:line="240" w:lineRule="auto"/>
        <w:rPr>
          <w:rFonts w:cstheme="minorHAnsi"/>
          <w:noProof/>
        </w:rPr>
      </w:pPr>
      <w:r w:rsidRPr="00633E7C">
        <w:rPr>
          <w:rFonts w:cstheme="minorHAnsi"/>
          <w:b/>
          <w:noProof/>
        </w:rPr>
        <w:t>Information</w:t>
      </w:r>
      <w:r>
        <w:rPr>
          <w:rFonts w:cstheme="minorHAnsi"/>
          <w:noProof/>
        </w:rPr>
        <w:t xml:space="preserve">: </w:t>
      </w:r>
      <w:r w:rsidRPr="00AD3C1D">
        <w:rPr>
          <w:rFonts w:cstheme="minorHAnsi"/>
          <w:noProof/>
        </w:rPr>
        <w:t xml:space="preserve">The </w:t>
      </w:r>
      <w:r>
        <w:rPr>
          <w:rFonts w:cstheme="minorHAnsi"/>
          <w:noProof/>
        </w:rPr>
        <w:t>test</w:t>
      </w:r>
      <w:r w:rsidRPr="00AD3C1D">
        <w:rPr>
          <w:rFonts w:cstheme="minorHAnsi"/>
          <w:noProof/>
        </w:rPr>
        <w:t xml:space="preserve"> assesses category</w:t>
      </w:r>
      <w:r>
        <w:rPr>
          <w:rFonts w:cstheme="minorHAnsi"/>
          <w:noProof/>
        </w:rPr>
        <w:t xml:space="preserve"> </w:t>
      </w:r>
      <w:r w:rsidRPr="00AD3C1D">
        <w:rPr>
          <w:rFonts w:cstheme="minorHAnsi"/>
          <w:noProof/>
        </w:rPr>
        <w:t xml:space="preserve">errors confusing </w:t>
      </w:r>
      <w:r>
        <w:rPr>
          <w:rFonts w:cstheme="minorHAnsi"/>
          <w:noProof/>
        </w:rPr>
        <w:t xml:space="preserve">mental and non-mental attributes. These confusions are typically associated to  paranormal (supernatural, magical, superstitious) beliefs. </w:t>
      </w:r>
    </w:p>
    <w:p w14:paraId="381C643A" w14:textId="066D3540" w:rsidR="00C741BE" w:rsidRDefault="00C741BE" w:rsidP="002B46FE">
      <w:pPr>
        <w:spacing w:line="240" w:lineRule="auto"/>
        <w:rPr>
          <w:rFonts w:cstheme="minorHAnsi"/>
          <w:noProof/>
        </w:rPr>
      </w:pPr>
      <w:r>
        <w:rPr>
          <w:rFonts w:cstheme="minorHAnsi"/>
          <w:noProof/>
        </w:rPr>
        <w:t xml:space="preserve">The scale was developed because the Core </w:t>
      </w:r>
      <w:r w:rsidRPr="00AD3C1D">
        <w:rPr>
          <w:rFonts w:cstheme="minorHAnsi"/>
          <w:noProof/>
        </w:rPr>
        <w:t xml:space="preserve">knowledge </w:t>
      </w:r>
      <w:r>
        <w:rPr>
          <w:rFonts w:cstheme="minorHAnsi"/>
          <w:noProof/>
        </w:rPr>
        <w:t>confusions scale does not include sufficient information about th</w:t>
      </w:r>
      <w:r w:rsidR="00E52581">
        <w:rPr>
          <w:rFonts w:cstheme="minorHAnsi"/>
          <w:noProof/>
        </w:rPr>
        <w:t>ese</w:t>
      </w:r>
      <w:r>
        <w:rPr>
          <w:rFonts w:cstheme="minorHAnsi"/>
          <w:noProof/>
        </w:rPr>
        <w:t xml:space="preserve"> confusions. </w:t>
      </w:r>
    </w:p>
    <w:p w14:paraId="62A71B6E" w14:textId="4C1B3589" w:rsidR="00C741BE" w:rsidRDefault="00C741BE" w:rsidP="002B46FE">
      <w:pPr>
        <w:spacing w:line="240" w:lineRule="auto"/>
        <w:rPr>
          <w:b/>
          <w:bCs/>
          <w:lang w:val="en-GB"/>
        </w:rPr>
      </w:pPr>
      <w:r>
        <w:rPr>
          <w:rFonts w:cstheme="minorHAnsi"/>
          <w:noProof/>
        </w:rPr>
        <w:t xml:space="preserve"> </w:t>
      </w:r>
    </w:p>
    <w:p w14:paraId="0B8798F8" w14:textId="78D81DBF" w:rsidR="00355DB2" w:rsidRPr="00355DB2" w:rsidRDefault="00355DB2" w:rsidP="002B46FE">
      <w:pPr>
        <w:spacing w:line="240" w:lineRule="auto"/>
        <w:rPr>
          <w:b/>
          <w:bCs/>
          <w:lang w:val="en-GB"/>
        </w:rPr>
      </w:pPr>
      <w:r w:rsidRPr="00355DB2">
        <w:rPr>
          <w:b/>
          <w:bCs/>
          <w:lang w:val="en-GB"/>
        </w:rPr>
        <w:t>References:</w:t>
      </w:r>
    </w:p>
    <w:p w14:paraId="3151766D" w14:textId="77777777" w:rsidR="00FF46B5" w:rsidRDefault="004615F1" w:rsidP="002B46FE">
      <w:pPr>
        <w:spacing w:line="240" w:lineRule="auto"/>
        <w:rPr>
          <w:lang w:val="en-GB"/>
        </w:rPr>
      </w:pPr>
      <w:r w:rsidRPr="00355DB2">
        <w:rPr>
          <w:lang w:val="fi-FI"/>
        </w:rPr>
        <w:t xml:space="preserve">Lindeman, M., &amp; Svedholm‐Häkkinen, A. M. (2016). </w:t>
      </w:r>
      <w:r w:rsidRPr="00355DB2">
        <w:rPr>
          <w:lang w:val="en-GB"/>
        </w:rPr>
        <w:t>Does poor understanding of physical world predict religious and paranormal beliefs? Applied Cognitive Psychology, 30(5), 736-742.</w:t>
      </w:r>
      <w:r w:rsidR="00355DB2" w:rsidRPr="00355DB2">
        <w:rPr>
          <w:lang w:val="en-GB"/>
        </w:rPr>
        <w:t xml:space="preserve"> </w:t>
      </w:r>
      <w:r w:rsidR="00FF46B5" w:rsidRPr="00FF46B5">
        <w:rPr>
          <w:lang w:val="en-GB"/>
        </w:rPr>
        <w:t>doi:10.1002/acp.3248</w:t>
      </w:r>
    </w:p>
    <w:p w14:paraId="33023251" w14:textId="1D390EB7" w:rsidR="004615F1" w:rsidRDefault="00355DB2" w:rsidP="002B46FE">
      <w:pPr>
        <w:spacing w:line="240" w:lineRule="auto"/>
        <w:rPr>
          <w:lang w:val="en-GB"/>
        </w:rPr>
      </w:pPr>
      <w:r w:rsidRPr="00355DB2">
        <w:rPr>
          <w:lang w:val="en-GB"/>
        </w:rPr>
        <w:t xml:space="preserve">( </w:t>
      </w:r>
      <w:r w:rsidR="00807D0C">
        <w:rPr>
          <w:lang w:val="en-GB"/>
        </w:rPr>
        <w:t>A</w:t>
      </w:r>
      <w:r w:rsidRPr="00355DB2">
        <w:rPr>
          <w:lang w:val="en-GB"/>
        </w:rPr>
        <w:t xml:space="preserve"> longer </w:t>
      </w:r>
      <w:proofErr w:type="spellStart"/>
      <w:r w:rsidRPr="00355DB2">
        <w:rPr>
          <w:lang w:val="en-GB"/>
        </w:rPr>
        <w:t>vesion</w:t>
      </w:r>
      <w:proofErr w:type="spellEnd"/>
      <w:r w:rsidRPr="00355DB2">
        <w:rPr>
          <w:lang w:val="en-GB"/>
        </w:rPr>
        <w:t xml:space="preserve"> was used here)</w:t>
      </w:r>
    </w:p>
    <w:p w14:paraId="5DBA6544" w14:textId="4CA1F879" w:rsidR="00FF46B5" w:rsidRDefault="00FF46B5" w:rsidP="002B46FE">
      <w:pPr>
        <w:spacing w:line="240" w:lineRule="auto"/>
        <w:rPr>
          <w:lang w:val="en-GB"/>
        </w:rPr>
      </w:pPr>
    </w:p>
    <w:p w14:paraId="7CC60E79" w14:textId="745D7ACC" w:rsidR="00FF46B5" w:rsidRDefault="00FF46B5" w:rsidP="002B46FE">
      <w:pPr>
        <w:spacing w:line="240" w:lineRule="auto"/>
        <w:rPr>
          <w:lang w:val="en-GB"/>
        </w:rPr>
      </w:pPr>
      <w:r w:rsidRPr="00FF46B5">
        <w:rPr>
          <w:lang w:val="fi-FI"/>
        </w:rPr>
        <w:t xml:space="preserve">Lindeman, M., van Elk, M., Lipsanen, J., Marin, P., &amp; Schjødt, U. (2019). </w:t>
      </w:r>
      <w:r w:rsidRPr="00FF46B5">
        <w:rPr>
          <w:lang w:val="en-GB"/>
        </w:rPr>
        <w:t>Religious unbelief in three Western European countries: Identifying and characterizing unbeliever types using latent class analysis. International Journal for the Psychology of Religion, 29, 184-203. doi:10.1080/10508619.2019.1591140</w:t>
      </w:r>
    </w:p>
    <w:p w14:paraId="472C3AF0" w14:textId="77777777" w:rsidR="00FF46B5" w:rsidRDefault="00FF46B5" w:rsidP="002B46FE">
      <w:pPr>
        <w:spacing w:line="240" w:lineRule="auto"/>
        <w:rPr>
          <w:lang w:val="en-GB"/>
        </w:rPr>
      </w:pPr>
    </w:p>
    <w:p w14:paraId="71EE5B3A" w14:textId="2DF4B102" w:rsidR="00FF46B5" w:rsidRPr="00355DB2" w:rsidRDefault="00FF46B5" w:rsidP="002B46FE">
      <w:pPr>
        <w:spacing w:line="240" w:lineRule="auto"/>
        <w:rPr>
          <w:lang w:val="en-GB"/>
        </w:rPr>
      </w:pPr>
      <w:r w:rsidRPr="00FF46B5">
        <w:rPr>
          <w:lang w:val="en-GB"/>
        </w:rPr>
        <w:t xml:space="preserve">Marin, P., &amp; Lindeman, M. (2021). How do people perceive the relationship between science and religion? The roles of epistemic and ontological cognition. Applied Cognitive Psychology. </w:t>
      </w:r>
      <w:proofErr w:type="spellStart"/>
      <w:r>
        <w:rPr>
          <w:lang w:val="en-GB"/>
        </w:rPr>
        <w:t>doi</w:t>
      </w:r>
      <w:proofErr w:type="spellEnd"/>
      <w:r w:rsidRPr="00FF46B5">
        <w:rPr>
          <w:lang w:val="en-GB"/>
        </w:rPr>
        <w:t>: 10.1002/acp.3836</w:t>
      </w:r>
    </w:p>
    <w:p w14:paraId="765124DD" w14:textId="77777777" w:rsidR="00DD78DC" w:rsidRPr="00F20CEA" w:rsidRDefault="00DD78DC" w:rsidP="002B46FE">
      <w:pPr>
        <w:spacing w:line="240" w:lineRule="auto"/>
        <w:rPr>
          <w:color w:val="7030A0"/>
          <w:lang w:val="en-GB"/>
        </w:rPr>
      </w:pPr>
      <w:bookmarkStart w:id="1" w:name="_Hlk495763540"/>
    </w:p>
    <w:p w14:paraId="5253A156" w14:textId="3D7BA88C" w:rsidR="00DD78DC" w:rsidRDefault="00DD78DC" w:rsidP="002B46FE">
      <w:pPr>
        <w:spacing w:line="240" w:lineRule="auto"/>
        <w:rPr>
          <w:i/>
          <w:lang w:val="en-GB"/>
        </w:rPr>
      </w:pPr>
      <w:r w:rsidRPr="00355DB2">
        <w:rPr>
          <w:b/>
          <w:bCs/>
          <w:lang w:val="en-GB"/>
        </w:rPr>
        <w:t>Instruction</w:t>
      </w:r>
      <w:r w:rsidRPr="00F20CEA">
        <w:rPr>
          <w:lang w:val="en-GB"/>
        </w:rPr>
        <w:t xml:space="preserve">: </w:t>
      </w:r>
      <w:r w:rsidRPr="00F20CEA">
        <w:rPr>
          <w:i/>
          <w:lang w:val="en-GB"/>
        </w:rPr>
        <w:t xml:space="preserve">Next, you will be presented with individual words. We ask you to evaluate the words </w:t>
      </w:r>
      <w:proofErr w:type="gramStart"/>
      <w:r w:rsidRPr="00F20CEA">
        <w:rPr>
          <w:i/>
          <w:lang w:val="en-GB"/>
        </w:rPr>
        <w:t>on the basis of</w:t>
      </w:r>
      <w:proofErr w:type="gramEnd"/>
      <w:r w:rsidRPr="00F20CEA">
        <w:rPr>
          <w:i/>
          <w:lang w:val="en-GB"/>
        </w:rPr>
        <w:t xml:space="preserve"> characterizing them as mental or non-mental. </w:t>
      </w:r>
      <w:r w:rsidR="007F3944" w:rsidRPr="007F3944">
        <w:rPr>
          <w:i/>
          <w:lang w:val="en-GB"/>
        </w:rPr>
        <w:t xml:space="preserve">By mental we mean anything that has </w:t>
      </w:r>
      <w:proofErr w:type="gramStart"/>
      <w:r w:rsidR="007F3944" w:rsidRPr="007F3944">
        <w:rPr>
          <w:i/>
          <w:lang w:val="en-GB"/>
        </w:rPr>
        <w:t>some kind of psyche</w:t>
      </w:r>
      <w:proofErr w:type="gramEnd"/>
      <w:r w:rsidR="007F3944" w:rsidRPr="007F3944">
        <w:rPr>
          <w:i/>
          <w:lang w:val="en-GB"/>
        </w:rPr>
        <w:t xml:space="preserve"> or spirit, or something which has mental properties.</w:t>
      </w:r>
      <w:r w:rsidR="007F3944">
        <w:rPr>
          <w:i/>
          <w:lang w:val="en-GB"/>
        </w:rPr>
        <w:t xml:space="preserve"> </w:t>
      </w:r>
      <w:r w:rsidR="007F3944" w:rsidRPr="007F3944">
        <w:rPr>
          <w:i/>
          <w:lang w:val="en-GB"/>
        </w:rPr>
        <w:t>For example, thoughts are mental and human beings are mental beings. Many people also consider God to be</w:t>
      </w:r>
      <w:r w:rsidR="007F3944">
        <w:rPr>
          <w:i/>
          <w:lang w:val="en-GB"/>
        </w:rPr>
        <w:t xml:space="preserve"> </w:t>
      </w:r>
      <w:r w:rsidR="007F3944" w:rsidRPr="007F3944">
        <w:rPr>
          <w:i/>
          <w:lang w:val="en-GB"/>
        </w:rPr>
        <w:t>a mental being. A pen or a car, by contrast, is generally considered non-mental.</w:t>
      </w:r>
    </w:p>
    <w:p w14:paraId="4BFDCB51" w14:textId="75E7BBF4" w:rsidR="007F3944" w:rsidRDefault="007F3944" w:rsidP="002B46FE">
      <w:pPr>
        <w:spacing w:line="240" w:lineRule="auto"/>
        <w:rPr>
          <w:lang w:val="en-GB"/>
        </w:rPr>
      </w:pPr>
    </w:p>
    <w:p w14:paraId="70CACC34" w14:textId="77777777" w:rsidR="002B46FE" w:rsidRPr="00F20CEA" w:rsidRDefault="00355DB2" w:rsidP="002B46FE">
      <w:pPr>
        <w:spacing w:line="240" w:lineRule="auto"/>
        <w:rPr>
          <w:lang w:val="en-GB"/>
        </w:rPr>
      </w:pPr>
      <w:r w:rsidRPr="00355DB2">
        <w:rPr>
          <w:b/>
          <w:bCs/>
          <w:lang w:val="en-GB"/>
        </w:rPr>
        <w:t>Items</w:t>
      </w:r>
      <w:r w:rsidR="002B46FE">
        <w:rPr>
          <w:b/>
          <w:bCs/>
          <w:lang w:val="en-GB"/>
        </w:rPr>
        <w:t xml:space="preserve"> </w:t>
      </w:r>
      <w:r w:rsidR="002B46FE" w:rsidRPr="004615F1">
        <w:rPr>
          <w:lang w:val="en-GB"/>
        </w:rPr>
        <w:t xml:space="preserve">1 = not </w:t>
      </w:r>
      <w:r w:rsidR="002B46FE" w:rsidRPr="00F20CEA">
        <w:rPr>
          <w:lang w:val="en-GB"/>
        </w:rPr>
        <w:t xml:space="preserve">at all mental, 2= almost not mental, 3= somewhat mental, 4=mental. </w:t>
      </w:r>
    </w:p>
    <w:p w14:paraId="6D614219" w14:textId="039C1536" w:rsidR="00DD78DC" w:rsidRDefault="00DD78DC" w:rsidP="002B46FE">
      <w:pPr>
        <w:spacing w:line="240" w:lineRule="auto"/>
        <w:rPr>
          <w:color w:val="000000" w:themeColor="text1"/>
          <w:lang w:val="en-GB"/>
        </w:rPr>
      </w:pPr>
      <w:r w:rsidRPr="00767FDD">
        <w:rPr>
          <w:color w:val="00B050"/>
          <w:lang w:val="en-GB"/>
        </w:rPr>
        <w:t>Fillers in green</w:t>
      </w:r>
      <w:r>
        <w:rPr>
          <w:color w:val="00B050"/>
          <w:lang w:val="en-GB"/>
        </w:rPr>
        <w:t xml:space="preserve">, </w:t>
      </w:r>
      <w:r>
        <w:rPr>
          <w:color w:val="000000" w:themeColor="text1"/>
          <w:lang w:val="en-GB"/>
        </w:rPr>
        <w:t>not to be included in the sum variable</w:t>
      </w:r>
    </w:p>
    <w:p w14:paraId="15E66A5F" w14:textId="77777777" w:rsidR="002B46FE" w:rsidRPr="00F70C08" w:rsidRDefault="002B46FE" w:rsidP="002B46FE">
      <w:pPr>
        <w:spacing w:line="240" w:lineRule="auto"/>
        <w:rPr>
          <w:color w:val="000000" w:themeColor="text1"/>
          <w:lang w:val="en-GB"/>
        </w:rPr>
      </w:pPr>
    </w:p>
    <w:p w14:paraId="5525EABD" w14:textId="09644DAB" w:rsidR="00DD78DC" w:rsidRDefault="00DD78DC" w:rsidP="002B46FE">
      <w:pPr>
        <w:tabs>
          <w:tab w:val="left" w:pos="900"/>
        </w:tabs>
        <w:spacing w:line="240" w:lineRule="auto"/>
        <w:rPr>
          <w:color w:val="7030A0"/>
        </w:rPr>
      </w:pPr>
      <w:r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0</w:t>
      </w:r>
      <w:r>
        <w:rPr>
          <w:rFonts w:ascii="Calibri" w:eastAsia="Calibri" w:hAnsi="Calibri" w:cs="Times New Roman"/>
          <w:color w:val="C00000"/>
          <w:lang w:val="en-GB"/>
        </w:rPr>
        <w:t xml:space="preserve"> </w:t>
      </w:r>
      <w:r>
        <w:rPr>
          <w:rFonts w:ascii="Calibri" w:eastAsia="Calibri" w:hAnsi="Calibri" w:cs="Times New Roman"/>
          <w:color w:val="C00000"/>
          <w:lang w:val="en-GB"/>
        </w:rPr>
        <w:tab/>
      </w:r>
      <w:r w:rsidRPr="00D84BAB">
        <w:rPr>
          <w:rFonts w:ascii="Calibri" w:eastAsia="Calibri" w:hAnsi="Calibri" w:cs="Times New Roman"/>
          <w:color w:val="00B050"/>
          <w:lang w:val="en-GB"/>
        </w:rPr>
        <w:t>dog</w:t>
      </w:r>
      <w:r w:rsidRPr="00E03618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F20CEA">
        <w:rPr>
          <w:color w:val="7030A0"/>
          <w:lang w:val="en-GB"/>
        </w:rPr>
        <w:t>PRACTICE ITEM</w:t>
      </w:r>
      <w:r w:rsidR="00ED047E">
        <w:rPr>
          <w:color w:val="7030A0"/>
          <w:lang w:val="en-GB"/>
        </w:rPr>
        <w:t xml:space="preserve"> to be used if response times are </w:t>
      </w:r>
      <w:r w:rsidR="002B46FE">
        <w:rPr>
          <w:color w:val="7030A0"/>
          <w:lang w:val="en-GB"/>
        </w:rPr>
        <w:t>measured</w:t>
      </w:r>
      <w:r w:rsidRPr="00F20CEA">
        <w:rPr>
          <w:color w:val="7030A0"/>
          <w:lang w:val="en-GB"/>
        </w:rPr>
        <w:t xml:space="preserve"> – </w:t>
      </w:r>
      <w:r w:rsidRPr="004001AE">
        <w:rPr>
          <w:color w:val="7030A0"/>
        </w:rPr>
        <w:t xml:space="preserve">not to be analyzed </w:t>
      </w:r>
    </w:p>
    <w:p w14:paraId="2AAB2B94" w14:textId="54F405B1" w:rsidR="00DD78DC" w:rsidRPr="00F20CEA" w:rsidRDefault="00DD78DC" w:rsidP="002B46FE">
      <w:pPr>
        <w:tabs>
          <w:tab w:val="left" w:pos="900"/>
        </w:tabs>
        <w:spacing w:line="240" w:lineRule="auto"/>
        <w:rPr>
          <w:rFonts w:ascii="Calibri" w:eastAsia="Calibri" w:hAnsi="Calibri" w:cs="Times New Roman"/>
          <w:lang w:val="en-GB"/>
        </w:rPr>
      </w:pPr>
      <w:r w:rsidRPr="00E03618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1</w:t>
      </w:r>
      <w:r w:rsidRPr="00E03618">
        <w:rPr>
          <w:rFonts w:ascii="Calibri" w:eastAsia="Calibri" w:hAnsi="Calibri" w:cs="Times New Roman"/>
          <w:lang w:val="en-GB"/>
        </w:rPr>
        <w:tab/>
        <w:t>wind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03B39B38" w14:textId="69E88138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2</w:t>
      </w:r>
      <w:r w:rsidRPr="00F20CEA">
        <w:rPr>
          <w:rFonts w:ascii="Calibri" w:eastAsia="Calibri" w:hAnsi="Calibri" w:cs="Times New Roman"/>
          <w:lang w:val="en-GB"/>
        </w:rPr>
        <w:tab/>
        <w:t>metal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1C566DA4" w14:textId="288CF772" w:rsidR="00DD78DC" w:rsidRPr="00767FDD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color w:val="00B050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3</w:t>
      </w:r>
      <w:r w:rsidRPr="00F20CEA">
        <w:rPr>
          <w:rFonts w:ascii="Calibri" w:eastAsia="Calibri" w:hAnsi="Calibri" w:cs="Times New Roman"/>
          <w:lang w:val="en-GB"/>
        </w:rPr>
        <w:tab/>
      </w:r>
      <w:r w:rsidRPr="00767FDD">
        <w:rPr>
          <w:rFonts w:ascii="Calibri" w:eastAsia="Calibri" w:hAnsi="Calibri" w:cs="Times New Roman"/>
          <w:color w:val="00B050"/>
          <w:lang w:val="en-GB"/>
        </w:rPr>
        <w:t>justice</w:t>
      </w:r>
      <w:r w:rsidRPr="00767FDD">
        <w:rPr>
          <w:rFonts w:ascii="Calibri" w:eastAsia="Calibri" w:hAnsi="Calibri" w:cs="Times New Roman"/>
          <w:color w:val="00B050"/>
          <w:lang w:val="en-GB"/>
        </w:rPr>
        <w:tab/>
      </w:r>
    </w:p>
    <w:p w14:paraId="3AB8EC31" w14:textId="136EAB5B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4</w:t>
      </w:r>
      <w:r w:rsidRPr="00F20CEA">
        <w:rPr>
          <w:rFonts w:ascii="Calibri" w:eastAsia="Calibri" w:hAnsi="Calibri" w:cs="Times New Roman"/>
          <w:lang w:val="en-GB"/>
        </w:rPr>
        <w:tab/>
        <w:t>room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6349F5CE" w14:textId="68DEABD3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5</w:t>
      </w:r>
      <w:r w:rsidRPr="00F20CEA">
        <w:rPr>
          <w:rFonts w:ascii="Calibri" w:eastAsia="Calibri" w:hAnsi="Calibri" w:cs="Times New Roman"/>
          <w:lang w:val="en-GB"/>
        </w:rPr>
        <w:tab/>
        <w:t>force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2767D028" w14:textId="690CF630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6</w:t>
      </w:r>
      <w:r w:rsidRPr="00F20CEA">
        <w:rPr>
          <w:rFonts w:ascii="Calibri" w:eastAsia="Calibri" w:hAnsi="Calibri" w:cs="Times New Roman"/>
          <w:lang w:val="en-GB"/>
        </w:rPr>
        <w:tab/>
      </w:r>
      <w:r w:rsidRPr="00767FDD">
        <w:rPr>
          <w:rFonts w:ascii="Calibri" w:eastAsia="Calibri" w:hAnsi="Calibri" w:cs="Times New Roman"/>
          <w:color w:val="00B050"/>
          <w:lang w:val="en-GB"/>
        </w:rPr>
        <w:t>fish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54A94CB9" w14:textId="034AE945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7</w:t>
      </w:r>
      <w:r w:rsidRPr="00F20CEA">
        <w:rPr>
          <w:rFonts w:ascii="Calibri" w:eastAsia="Calibri" w:hAnsi="Calibri" w:cs="Times New Roman"/>
          <w:lang w:val="en-GB"/>
        </w:rPr>
        <w:tab/>
        <w:t>clock</w:t>
      </w:r>
    </w:p>
    <w:p w14:paraId="7DF125E7" w14:textId="171A6CF6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8</w:t>
      </w:r>
      <w:r w:rsidRPr="00F20CEA">
        <w:rPr>
          <w:rFonts w:ascii="Calibri" w:eastAsia="Calibri" w:hAnsi="Calibri" w:cs="Times New Roman"/>
          <w:lang w:val="en-GB"/>
        </w:rPr>
        <w:tab/>
      </w:r>
      <w:r w:rsidRPr="00767FDD">
        <w:rPr>
          <w:rFonts w:ascii="Calibri" w:eastAsia="Calibri" w:hAnsi="Calibri" w:cs="Times New Roman"/>
          <w:color w:val="00B050"/>
          <w:lang w:val="en-GB"/>
        </w:rPr>
        <w:t>goal</w:t>
      </w:r>
      <w:r w:rsidRPr="00767FDD">
        <w:rPr>
          <w:rFonts w:ascii="Calibri" w:eastAsia="Calibri" w:hAnsi="Calibri" w:cs="Times New Roman"/>
          <w:color w:val="00B050"/>
          <w:lang w:val="en-GB"/>
        </w:rPr>
        <w:tab/>
      </w:r>
    </w:p>
    <w:p w14:paraId="274800D0" w14:textId="5807D14E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9</w:t>
      </w:r>
      <w:r w:rsidRPr="00F20CEA">
        <w:rPr>
          <w:rFonts w:ascii="Calibri" w:eastAsia="Calibri" w:hAnsi="Calibri" w:cs="Times New Roman"/>
          <w:lang w:val="en-GB"/>
        </w:rPr>
        <w:tab/>
        <w:t>light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1053E2A3" w14:textId="6AEF5F40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ment1</w:t>
      </w:r>
      <w:r w:rsidR="00ED047E">
        <w:rPr>
          <w:rFonts w:ascii="Calibri" w:eastAsia="Calibri" w:hAnsi="Calibri" w:cs="Times New Roman"/>
          <w:color w:val="C00000"/>
          <w:lang w:val="en-GB"/>
        </w:rPr>
        <w:t>0</w:t>
      </w:r>
      <w:r w:rsidRPr="00F20CEA">
        <w:rPr>
          <w:rFonts w:ascii="Calibri" w:eastAsia="Calibri" w:hAnsi="Calibri" w:cs="Times New Roman"/>
          <w:lang w:val="en-GB"/>
        </w:rPr>
        <w:tab/>
      </w:r>
      <w:r w:rsidRPr="00767FDD">
        <w:rPr>
          <w:rFonts w:ascii="Calibri" w:eastAsia="Calibri" w:hAnsi="Calibri" w:cs="Times New Roman"/>
          <w:color w:val="00B050"/>
          <w:lang w:val="en-GB"/>
        </w:rPr>
        <w:t xml:space="preserve">purpose </w:t>
      </w:r>
      <w:r w:rsidRPr="00767FDD">
        <w:rPr>
          <w:rFonts w:ascii="Calibri" w:eastAsia="Calibri" w:hAnsi="Calibri" w:cs="Times New Roman"/>
          <w:color w:val="00B050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7D2A4E18" w14:textId="584B39EE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ment1</w:t>
      </w:r>
      <w:r w:rsidR="00ED047E">
        <w:rPr>
          <w:rFonts w:ascii="Calibri" w:eastAsia="Calibri" w:hAnsi="Calibri" w:cs="Times New Roman"/>
          <w:color w:val="C00000"/>
          <w:lang w:val="en-GB"/>
        </w:rPr>
        <w:t>1</w:t>
      </w:r>
      <w:r w:rsidRPr="00F20CEA">
        <w:rPr>
          <w:rFonts w:ascii="Calibri" w:eastAsia="Calibri" w:hAnsi="Calibri" w:cs="Times New Roman"/>
          <w:lang w:val="en-GB"/>
        </w:rPr>
        <w:tab/>
        <w:t>clothes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5B02E87A" w14:textId="1412FE06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ment1</w:t>
      </w:r>
      <w:r w:rsidR="00ED047E">
        <w:rPr>
          <w:rFonts w:ascii="Calibri" w:eastAsia="Calibri" w:hAnsi="Calibri" w:cs="Times New Roman"/>
          <w:color w:val="C00000"/>
          <w:lang w:val="en-GB"/>
        </w:rPr>
        <w:t>2</w:t>
      </w:r>
      <w:r w:rsidRPr="00F20CEA">
        <w:rPr>
          <w:rFonts w:ascii="Calibri" w:eastAsia="Calibri" w:hAnsi="Calibri" w:cs="Times New Roman"/>
          <w:lang w:val="en-GB"/>
        </w:rPr>
        <w:tab/>
        <w:t>stone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199D709B" w14:textId="41389F4D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ment1</w:t>
      </w:r>
      <w:r w:rsidR="00ED047E">
        <w:rPr>
          <w:rFonts w:ascii="Calibri" w:eastAsia="Calibri" w:hAnsi="Calibri" w:cs="Times New Roman"/>
          <w:color w:val="C00000"/>
          <w:lang w:val="en-GB"/>
        </w:rPr>
        <w:t>3</w:t>
      </w:r>
      <w:r w:rsidRPr="00F20CEA">
        <w:rPr>
          <w:rFonts w:ascii="Calibri" w:eastAsia="Calibri" w:hAnsi="Calibri" w:cs="Times New Roman"/>
          <w:lang w:val="en-GB"/>
        </w:rPr>
        <w:tab/>
        <w:t>water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47F5AD72" w14:textId="37F32FD1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ment1</w:t>
      </w:r>
      <w:r w:rsidR="00ED047E">
        <w:rPr>
          <w:rFonts w:ascii="Calibri" w:eastAsia="Calibri" w:hAnsi="Calibri" w:cs="Times New Roman"/>
          <w:color w:val="C00000"/>
          <w:lang w:val="en-GB"/>
        </w:rPr>
        <w:t>4</w:t>
      </w:r>
      <w:r w:rsidRPr="00F20CEA">
        <w:rPr>
          <w:rFonts w:ascii="Calibri" w:eastAsia="Calibri" w:hAnsi="Calibri" w:cs="Times New Roman"/>
          <w:lang w:val="en-GB"/>
        </w:rPr>
        <w:tab/>
        <w:t>flower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370BBEAA" w14:textId="1276E8A7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ment1</w:t>
      </w:r>
      <w:r w:rsidR="00ED047E">
        <w:rPr>
          <w:rFonts w:ascii="Calibri" w:eastAsia="Calibri" w:hAnsi="Calibri" w:cs="Times New Roman"/>
          <w:color w:val="C00000"/>
          <w:lang w:val="en-GB"/>
        </w:rPr>
        <w:t>5</w:t>
      </w:r>
      <w:r w:rsidRPr="00F20CEA">
        <w:rPr>
          <w:rFonts w:ascii="Calibri" w:eastAsia="Calibri" w:hAnsi="Calibri" w:cs="Times New Roman"/>
          <w:lang w:val="en-GB"/>
        </w:rPr>
        <w:tab/>
        <w:t>algae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589E47D6" w14:textId="73040BBB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ment1</w:t>
      </w:r>
      <w:r w:rsidR="00ED047E">
        <w:rPr>
          <w:rFonts w:ascii="Calibri" w:eastAsia="Calibri" w:hAnsi="Calibri" w:cs="Times New Roman"/>
          <w:color w:val="C00000"/>
          <w:lang w:val="en-GB"/>
        </w:rPr>
        <w:t>6</w:t>
      </w:r>
      <w:r w:rsidRPr="00F20CEA">
        <w:rPr>
          <w:rFonts w:ascii="Calibri" w:eastAsia="Calibri" w:hAnsi="Calibri" w:cs="Times New Roman"/>
          <w:lang w:val="en-GB"/>
        </w:rPr>
        <w:tab/>
      </w:r>
      <w:r w:rsidRPr="00767FDD">
        <w:rPr>
          <w:rFonts w:ascii="Calibri" w:eastAsia="Calibri" w:hAnsi="Calibri" w:cs="Times New Roman"/>
          <w:color w:val="00B050"/>
          <w:lang w:val="en-GB"/>
        </w:rPr>
        <w:t>worm</w:t>
      </w:r>
      <w:r w:rsidRPr="00767FDD">
        <w:rPr>
          <w:rFonts w:ascii="Calibri" w:eastAsia="Calibri" w:hAnsi="Calibri" w:cs="Times New Roman"/>
          <w:color w:val="00B050"/>
          <w:lang w:val="en-GB"/>
        </w:rPr>
        <w:tab/>
      </w:r>
      <w:r w:rsidRPr="00767FDD">
        <w:rPr>
          <w:rFonts w:ascii="Calibri" w:eastAsia="Calibri" w:hAnsi="Calibri" w:cs="Times New Roman"/>
          <w:color w:val="00B050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4B36D2E7" w14:textId="0C827FFC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ment1</w:t>
      </w:r>
      <w:r w:rsidR="00ED047E">
        <w:rPr>
          <w:rFonts w:ascii="Calibri" w:eastAsia="Calibri" w:hAnsi="Calibri" w:cs="Times New Roman"/>
          <w:color w:val="C00000"/>
          <w:lang w:val="en-GB"/>
        </w:rPr>
        <w:t>7</w:t>
      </w:r>
      <w:r w:rsidRPr="00F20CEA">
        <w:rPr>
          <w:rFonts w:ascii="Calibri" w:eastAsia="Calibri" w:hAnsi="Calibri" w:cs="Times New Roman"/>
          <w:lang w:val="en-GB"/>
        </w:rPr>
        <w:tab/>
        <w:t>paper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1145D2EB" w14:textId="389EE40F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ment1</w:t>
      </w:r>
      <w:r w:rsidR="00ED047E">
        <w:rPr>
          <w:rFonts w:ascii="Calibri" w:eastAsia="Calibri" w:hAnsi="Calibri" w:cs="Times New Roman"/>
          <w:color w:val="C00000"/>
          <w:lang w:val="en-GB"/>
        </w:rPr>
        <w:t>8</w:t>
      </w:r>
      <w:r w:rsidRPr="00F20CEA">
        <w:rPr>
          <w:rFonts w:ascii="Calibri" w:eastAsia="Calibri" w:hAnsi="Calibri" w:cs="Times New Roman"/>
          <w:lang w:val="en-GB"/>
        </w:rPr>
        <w:tab/>
        <w:t>tree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3EB94388" w14:textId="5571B14A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</w:t>
      </w:r>
      <w:r w:rsidR="00ED047E">
        <w:rPr>
          <w:rFonts w:ascii="Calibri" w:eastAsia="Calibri" w:hAnsi="Calibri" w:cs="Times New Roman"/>
          <w:color w:val="C00000"/>
          <w:lang w:val="en-GB"/>
        </w:rPr>
        <w:t>19</w:t>
      </w:r>
      <w:r w:rsidRPr="00F20CEA">
        <w:rPr>
          <w:rFonts w:ascii="Calibri" w:eastAsia="Calibri" w:hAnsi="Calibri" w:cs="Times New Roman"/>
          <w:lang w:val="en-GB"/>
        </w:rPr>
        <w:tab/>
      </w:r>
      <w:r w:rsidRPr="00767FDD">
        <w:rPr>
          <w:rFonts w:ascii="Calibri" w:eastAsia="Calibri" w:hAnsi="Calibri" w:cs="Times New Roman"/>
          <w:color w:val="00B050"/>
          <w:lang w:val="en-GB"/>
        </w:rPr>
        <w:t>race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6460A127" w14:textId="165D2905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ment2</w:t>
      </w:r>
      <w:r w:rsidR="00ED047E">
        <w:rPr>
          <w:rFonts w:ascii="Calibri" w:eastAsia="Calibri" w:hAnsi="Calibri" w:cs="Times New Roman"/>
          <w:color w:val="C00000"/>
          <w:lang w:val="en-GB"/>
        </w:rPr>
        <w:t>0</w:t>
      </w:r>
      <w:r w:rsidRPr="00F20CEA">
        <w:rPr>
          <w:rFonts w:ascii="Calibri" w:eastAsia="Calibri" w:hAnsi="Calibri" w:cs="Times New Roman"/>
          <w:lang w:val="en-GB"/>
        </w:rPr>
        <w:tab/>
        <w:t>moss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6A1352D2" w14:textId="5B43493F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ment2</w:t>
      </w:r>
      <w:r w:rsidR="00ED047E">
        <w:rPr>
          <w:rFonts w:ascii="Calibri" w:eastAsia="Calibri" w:hAnsi="Calibri" w:cs="Times New Roman"/>
          <w:color w:val="C00000"/>
          <w:lang w:val="en-GB"/>
        </w:rPr>
        <w:t>1</w:t>
      </w:r>
      <w:r w:rsidRPr="00F20CEA">
        <w:rPr>
          <w:rFonts w:ascii="Calibri" w:eastAsia="Calibri" w:hAnsi="Calibri" w:cs="Times New Roman"/>
          <w:lang w:val="en-GB"/>
        </w:rPr>
        <w:tab/>
        <w:t>air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025D3396" w14:textId="0C83E96B" w:rsidR="00DD78DC" w:rsidRPr="00F20CEA" w:rsidRDefault="00DD78DC" w:rsidP="002B46FE">
      <w:pPr>
        <w:tabs>
          <w:tab w:val="left" w:pos="900"/>
        </w:tabs>
        <w:spacing w:after="160" w:line="240" w:lineRule="auto"/>
        <w:contextualSpacing/>
        <w:rPr>
          <w:rFonts w:ascii="Calibri" w:eastAsia="Calibri" w:hAnsi="Calibri" w:cs="Times New Roman"/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ment2</w:t>
      </w:r>
      <w:r w:rsidR="00ED047E">
        <w:rPr>
          <w:rFonts w:ascii="Calibri" w:eastAsia="Calibri" w:hAnsi="Calibri" w:cs="Times New Roman"/>
          <w:color w:val="C00000"/>
          <w:lang w:val="en-GB"/>
        </w:rPr>
        <w:t>2</w:t>
      </w:r>
      <w:r w:rsidRPr="00F20CEA">
        <w:rPr>
          <w:rFonts w:ascii="Calibri" w:eastAsia="Calibri" w:hAnsi="Calibri" w:cs="Times New Roman"/>
          <w:lang w:val="en-GB"/>
        </w:rPr>
        <w:tab/>
        <w:t>electricity</w:t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  <w:r w:rsidRPr="00F20CEA">
        <w:rPr>
          <w:rFonts w:ascii="Calibri" w:eastAsia="Calibri" w:hAnsi="Calibri" w:cs="Times New Roman"/>
          <w:lang w:val="en-GB"/>
        </w:rPr>
        <w:tab/>
      </w:r>
    </w:p>
    <w:p w14:paraId="646A7790" w14:textId="7445290B" w:rsidR="00DD78DC" w:rsidRPr="00F20CEA" w:rsidRDefault="00DD78DC" w:rsidP="00FF05B4">
      <w:pPr>
        <w:tabs>
          <w:tab w:val="left" w:pos="900"/>
        </w:tabs>
        <w:spacing w:after="160" w:line="240" w:lineRule="auto"/>
        <w:contextualSpacing/>
        <w:rPr>
          <w:lang w:val="en-GB"/>
        </w:rPr>
      </w:pPr>
      <w:r w:rsidRPr="00F20CEA">
        <w:rPr>
          <w:rFonts w:ascii="Calibri" w:eastAsia="Calibri" w:hAnsi="Calibri" w:cs="Times New Roman"/>
          <w:color w:val="C00000"/>
          <w:lang w:val="en-GB"/>
        </w:rPr>
        <w:t>ment2</w:t>
      </w:r>
      <w:r w:rsidR="00ED047E">
        <w:rPr>
          <w:rFonts w:ascii="Calibri" w:eastAsia="Calibri" w:hAnsi="Calibri" w:cs="Times New Roman"/>
          <w:color w:val="C00000"/>
          <w:lang w:val="en-GB"/>
        </w:rPr>
        <w:t>3</w:t>
      </w:r>
      <w:r w:rsidRPr="00F20CEA">
        <w:rPr>
          <w:rFonts w:ascii="Calibri" w:eastAsia="Calibri" w:hAnsi="Calibri" w:cs="Times New Roman"/>
          <w:lang w:val="en-GB"/>
        </w:rPr>
        <w:tab/>
      </w:r>
      <w:r w:rsidRPr="00767FDD">
        <w:rPr>
          <w:rFonts w:ascii="Calibri" w:eastAsia="Calibri" w:hAnsi="Calibri" w:cs="Times New Roman"/>
          <w:color w:val="00B050"/>
          <w:lang w:val="en-GB"/>
        </w:rPr>
        <w:t>freedom</w:t>
      </w:r>
    </w:p>
    <w:bookmarkEnd w:id="1"/>
    <w:p w14:paraId="6379B6B6" w14:textId="77777777" w:rsidR="00EA6D72" w:rsidRDefault="00EA6D72" w:rsidP="002B46FE">
      <w:pPr>
        <w:spacing w:line="240" w:lineRule="auto"/>
      </w:pPr>
    </w:p>
    <w:sectPr w:rsidR="00EA6D72" w:rsidSect="00FF05B4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DC"/>
    <w:rsid w:val="000D1B29"/>
    <w:rsid w:val="002B46FE"/>
    <w:rsid w:val="00355DB2"/>
    <w:rsid w:val="004615F1"/>
    <w:rsid w:val="00532E60"/>
    <w:rsid w:val="006C53BE"/>
    <w:rsid w:val="00725B54"/>
    <w:rsid w:val="007F3944"/>
    <w:rsid w:val="00807D0C"/>
    <w:rsid w:val="009B5D42"/>
    <w:rsid w:val="00AF1023"/>
    <w:rsid w:val="00C741BE"/>
    <w:rsid w:val="00D1765C"/>
    <w:rsid w:val="00DB14D1"/>
    <w:rsid w:val="00DD78DC"/>
    <w:rsid w:val="00E07146"/>
    <w:rsid w:val="00E13F3A"/>
    <w:rsid w:val="00E52581"/>
    <w:rsid w:val="00E628A2"/>
    <w:rsid w:val="00EA6D72"/>
    <w:rsid w:val="00ED047E"/>
    <w:rsid w:val="00FE4BD8"/>
    <w:rsid w:val="00FF05B4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E05B5"/>
  <w15:chartTrackingRefBased/>
  <w15:docId w15:val="{A3F40026-530E-446B-A59F-E44770C0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D78DC"/>
    <w:pPr>
      <w:spacing w:after="0" w:line="276" w:lineRule="auto"/>
    </w:pPr>
    <w:rPr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DD7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D78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marjaana lindeman</dc:creator>
  <cp:keywords/>
  <dc:description/>
  <cp:lastModifiedBy>Lindeman, Marjaana</cp:lastModifiedBy>
  <cp:revision>2</cp:revision>
  <dcterms:created xsi:type="dcterms:W3CDTF">2021-10-29T12:29:00Z</dcterms:created>
  <dcterms:modified xsi:type="dcterms:W3CDTF">2021-10-29T12:29:00Z</dcterms:modified>
</cp:coreProperties>
</file>