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DD97" w14:textId="10E24072" w:rsidR="00990A99" w:rsidRPr="00896DCB" w:rsidRDefault="00F05919" w:rsidP="0070170C">
      <w:pPr>
        <w:spacing w:after="0" w:line="240" w:lineRule="auto"/>
        <w:rPr>
          <w:b/>
          <w:color w:val="0070C0"/>
          <w:sz w:val="28"/>
          <w:szCs w:val="24"/>
          <w:lang w:val="en-GB"/>
        </w:rPr>
      </w:pPr>
      <w:r w:rsidRPr="00896DCB">
        <w:rPr>
          <w:b/>
          <w:color w:val="0070C0"/>
          <w:sz w:val="28"/>
          <w:szCs w:val="24"/>
          <w:lang w:val="en-GB"/>
        </w:rPr>
        <w:t>N</w:t>
      </w:r>
      <w:r>
        <w:rPr>
          <w:b/>
          <w:color w:val="0070C0"/>
          <w:sz w:val="28"/>
          <w:szCs w:val="24"/>
          <w:lang w:val="en-GB"/>
        </w:rPr>
        <w:t>e</w:t>
      </w:r>
      <w:r w:rsidRPr="00896DCB">
        <w:rPr>
          <w:b/>
          <w:color w:val="0070C0"/>
          <w:sz w:val="28"/>
          <w:szCs w:val="24"/>
          <w:lang w:val="en-GB"/>
        </w:rPr>
        <w:t xml:space="preserve">twork </w:t>
      </w:r>
      <w:r>
        <w:rPr>
          <w:b/>
          <w:color w:val="0070C0"/>
          <w:sz w:val="28"/>
          <w:szCs w:val="24"/>
          <w:lang w:val="en-GB"/>
        </w:rPr>
        <w:t xml:space="preserve">for the Enhancement of </w:t>
      </w:r>
      <w:r w:rsidR="00990A99" w:rsidRPr="00896DCB">
        <w:rPr>
          <w:b/>
          <w:color w:val="0070C0"/>
          <w:sz w:val="28"/>
          <w:szCs w:val="24"/>
          <w:lang w:val="en-GB"/>
        </w:rPr>
        <w:t xml:space="preserve">Teaching and Learning </w:t>
      </w:r>
      <w:r>
        <w:rPr>
          <w:b/>
          <w:color w:val="0070C0"/>
          <w:sz w:val="28"/>
          <w:szCs w:val="24"/>
          <w:lang w:val="en-GB"/>
        </w:rPr>
        <w:t>in</w:t>
      </w:r>
      <w:r w:rsidRPr="00896DCB">
        <w:rPr>
          <w:b/>
          <w:color w:val="0070C0"/>
          <w:sz w:val="28"/>
          <w:szCs w:val="24"/>
          <w:lang w:val="en-GB"/>
        </w:rPr>
        <w:t xml:space="preserve"> </w:t>
      </w:r>
      <w:r w:rsidR="00990A99" w:rsidRPr="00896DCB">
        <w:rPr>
          <w:b/>
          <w:color w:val="0070C0"/>
          <w:sz w:val="28"/>
          <w:szCs w:val="24"/>
          <w:lang w:val="en-GB"/>
        </w:rPr>
        <w:t>research</w:t>
      </w:r>
      <w:r w:rsidR="00501B7D">
        <w:rPr>
          <w:b/>
          <w:color w:val="0070C0"/>
          <w:sz w:val="28"/>
          <w:szCs w:val="24"/>
          <w:lang w:val="en-GB"/>
        </w:rPr>
        <w:t>-</w:t>
      </w:r>
      <w:r>
        <w:rPr>
          <w:b/>
          <w:color w:val="0070C0"/>
          <w:sz w:val="28"/>
          <w:szCs w:val="24"/>
          <w:lang w:val="en-GB"/>
        </w:rPr>
        <w:t>intensive</w:t>
      </w:r>
      <w:r w:rsidR="00990A99" w:rsidRPr="00896DCB">
        <w:rPr>
          <w:b/>
          <w:color w:val="0070C0"/>
          <w:sz w:val="28"/>
          <w:szCs w:val="24"/>
          <w:lang w:val="en-GB"/>
        </w:rPr>
        <w:t xml:space="preserve"> universities (NETL)</w:t>
      </w:r>
    </w:p>
    <w:p w14:paraId="202A68FF" w14:textId="77777777" w:rsidR="00E54F64" w:rsidRPr="00896DCB" w:rsidRDefault="00E54F64" w:rsidP="0070170C">
      <w:pPr>
        <w:spacing w:after="0" w:line="240" w:lineRule="auto"/>
        <w:rPr>
          <w:sz w:val="28"/>
          <w:szCs w:val="24"/>
          <w:lang w:val="en-GB"/>
        </w:rPr>
      </w:pPr>
    </w:p>
    <w:p w14:paraId="160ABE41" w14:textId="77777777" w:rsidR="00F856D7" w:rsidRPr="00E012E9" w:rsidRDefault="00F856D7" w:rsidP="003717DC">
      <w:pPr>
        <w:spacing w:after="0" w:line="240" w:lineRule="auto"/>
        <w:rPr>
          <w:b/>
          <w:color w:val="0070C0"/>
          <w:sz w:val="24"/>
          <w:szCs w:val="24"/>
          <w:lang w:val="en-GB"/>
        </w:rPr>
      </w:pPr>
      <w:r w:rsidRPr="00E012E9">
        <w:rPr>
          <w:b/>
          <w:color w:val="0070C0"/>
          <w:sz w:val="24"/>
          <w:szCs w:val="24"/>
          <w:lang w:val="en-GB"/>
        </w:rPr>
        <w:t>Mission</w:t>
      </w:r>
    </w:p>
    <w:p w14:paraId="67C33ED9" w14:textId="25EA5682" w:rsidR="00B40792" w:rsidRDefault="00C40BF2" w:rsidP="00B40792">
      <w:pPr>
        <w:spacing w:after="0" w:line="240" w:lineRule="auto"/>
        <w:rPr>
          <w:sz w:val="24"/>
          <w:szCs w:val="24"/>
          <w:lang w:val="en-GB"/>
        </w:rPr>
      </w:pPr>
      <w:r>
        <w:rPr>
          <w:sz w:val="24"/>
          <w:szCs w:val="24"/>
          <w:lang w:val="en-GB"/>
        </w:rPr>
        <w:t>R</w:t>
      </w:r>
      <w:r w:rsidR="002F210A">
        <w:rPr>
          <w:sz w:val="24"/>
          <w:szCs w:val="24"/>
          <w:lang w:val="en-GB"/>
        </w:rPr>
        <w:t>esear</w:t>
      </w:r>
      <w:r>
        <w:rPr>
          <w:sz w:val="24"/>
          <w:szCs w:val="24"/>
          <w:lang w:val="en-GB"/>
        </w:rPr>
        <w:t>ch universities</w:t>
      </w:r>
      <w:r w:rsidR="002F210A">
        <w:rPr>
          <w:sz w:val="24"/>
          <w:szCs w:val="24"/>
          <w:lang w:val="en-GB"/>
        </w:rPr>
        <w:t xml:space="preserve"> both carry out </w:t>
      </w:r>
      <w:proofErr w:type="gramStart"/>
      <w:r w:rsidR="002F210A">
        <w:rPr>
          <w:sz w:val="24"/>
          <w:szCs w:val="24"/>
          <w:lang w:val="en-GB"/>
        </w:rPr>
        <w:t>ground-breaking</w:t>
      </w:r>
      <w:proofErr w:type="gramEnd"/>
      <w:r w:rsidR="002F210A">
        <w:rPr>
          <w:sz w:val="24"/>
          <w:szCs w:val="24"/>
          <w:lang w:val="en-GB"/>
        </w:rPr>
        <w:t xml:space="preserve"> research that help</w:t>
      </w:r>
      <w:r>
        <w:rPr>
          <w:sz w:val="24"/>
          <w:szCs w:val="24"/>
          <w:lang w:val="en-GB"/>
        </w:rPr>
        <w:t>s</w:t>
      </w:r>
      <w:r w:rsidR="002F210A">
        <w:rPr>
          <w:sz w:val="24"/>
          <w:szCs w:val="24"/>
          <w:lang w:val="en-GB"/>
        </w:rPr>
        <w:t xml:space="preserve"> solve local and global issues, and </w:t>
      </w:r>
      <w:r w:rsidR="005362B7">
        <w:rPr>
          <w:sz w:val="24"/>
          <w:szCs w:val="24"/>
          <w:lang w:val="en-GB"/>
        </w:rPr>
        <w:t>provide high quality education</w:t>
      </w:r>
      <w:r w:rsidR="002F210A">
        <w:rPr>
          <w:sz w:val="24"/>
          <w:szCs w:val="24"/>
          <w:lang w:val="en-GB"/>
        </w:rPr>
        <w:t xml:space="preserve"> </w:t>
      </w:r>
      <w:r w:rsidR="005362B7">
        <w:rPr>
          <w:sz w:val="24"/>
          <w:szCs w:val="24"/>
          <w:lang w:val="en-GB"/>
        </w:rPr>
        <w:t xml:space="preserve">that will help </w:t>
      </w:r>
      <w:r w:rsidR="002F210A">
        <w:rPr>
          <w:sz w:val="24"/>
          <w:szCs w:val="24"/>
          <w:lang w:val="en-GB"/>
        </w:rPr>
        <w:t xml:space="preserve">students </w:t>
      </w:r>
      <w:r w:rsidR="005362B7">
        <w:rPr>
          <w:sz w:val="24"/>
          <w:szCs w:val="24"/>
          <w:lang w:val="en-GB"/>
        </w:rPr>
        <w:t xml:space="preserve">develop </w:t>
      </w:r>
      <w:r>
        <w:rPr>
          <w:sz w:val="24"/>
          <w:szCs w:val="24"/>
          <w:lang w:val="en-GB"/>
        </w:rPr>
        <w:t>the competencies</w:t>
      </w:r>
      <w:r w:rsidR="002F210A">
        <w:rPr>
          <w:sz w:val="24"/>
          <w:szCs w:val="24"/>
          <w:lang w:val="en-GB"/>
        </w:rPr>
        <w:t xml:space="preserve"> </w:t>
      </w:r>
      <w:r>
        <w:rPr>
          <w:sz w:val="24"/>
          <w:szCs w:val="24"/>
          <w:lang w:val="en-GB"/>
        </w:rPr>
        <w:t>that</w:t>
      </w:r>
      <w:r w:rsidR="005362B7">
        <w:rPr>
          <w:sz w:val="24"/>
          <w:szCs w:val="24"/>
          <w:lang w:val="en-GB"/>
        </w:rPr>
        <w:t xml:space="preserve"> enable them to make a substantial contribution to society.</w:t>
      </w:r>
      <w:r w:rsidR="002F210A">
        <w:rPr>
          <w:sz w:val="24"/>
          <w:szCs w:val="24"/>
          <w:lang w:val="en-GB"/>
        </w:rPr>
        <w:t xml:space="preserve"> </w:t>
      </w:r>
    </w:p>
    <w:p w14:paraId="47FDF4E8" w14:textId="77777777" w:rsidR="00A52FD5" w:rsidRDefault="00A52FD5" w:rsidP="007876C7">
      <w:pPr>
        <w:spacing w:after="0" w:line="240" w:lineRule="auto"/>
        <w:rPr>
          <w:sz w:val="24"/>
          <w:szCs w:val="24"/>
          <w:lang w:val="en-GB"/>
        </w:rPr>
      </w:pPr>
    </w:p>
    <w:p w14:paraId="7A252988" w14:textId="3A01A3A1" w:rsidR="007876C7" w:rsidRDefault="00B40792" w:rsidP="007876C7">
      <w:pPr>
        <w:spacing w:after="0" w:line="240" w:lineRule="auto"/>
        <w:rPr>
          <w:sz w:val="24"/>
          <w:szCs w:val="24"/>
          <w:lang w:val="en-GB"/>
        </w:rPr>
      </w:pPr>
      <w:bookmarkStart w:id="0" w:name="_GoBack"/>
      <w:bookmarkEnd w:id="0"/>
      <w:r>
        <w:rPr>
          <w:sz w:val="24"/>
          <w:szCs w:val="24"/>
          <w:lang w:val="en-GB"/>
        </w:rPr>
        <w:t xml:space="preserve">The members of NETL represent </w:t>
      </w:r>
      <w:proofErr w:type="spellStart"/>
      <w:r>
        <w:rPr>
          <w:sz w:val="24"/>
          <w:szCs w:val="24"/>
          <w:lang w:val="en-GB"/>
        </w:rPr>
        <w:t>reserach</w:t>
      </w:r>
      <w:proofErr w:type="spellEnd"/>
      <w:r>
        <w:rPr>
          <w:sz w:val="24"/>
          <w:szCs w:val="24"/>
          <w:lang w:val="en-GB"/>
        </w:rPr>
        <w:t xml:space="preserve"> universities with a </w:t>
      </w:r>
      <w:r w:rsidR="009D0F6B">
        <w:rPr>
          <w:sz w:val="24"/>
          <w:szCs w:val="24"/>
          <w:lang w:val="en-GB"/>
        </w:rPr>
        <w:t>strong</w:t>
      </w:r>
      <w:r>
        <w:rPr>
          <w:sz w:val="24"/>
          <w:szCs w:val="24"/>
          <w:lang w:val="en-GB"/>
        </w:rPr>
        <w:t xml:space="preserve"> commitment </w:t>
      </w:r>
      <w:r w:rsidR="009D0F6B">
        <w:rPr>
          <w:sz w:val="24"/>
          <w:szCs w:val="24"/>
          <w:lang w:val="en-GB"/>
        </w:rPr>
        <w:t>to both rese</w:t>
      </w:r>
      <w:r>
        <w:rPr>
          <w:sz w:val="24"/>
          <w:szCs w:val="24"/>
          <w:lang w:val="en-GB"/>
        </w:rPr>
        <w:t>a</w:t>
      </w:r>
      <w:r w:rsidR="009D0F6B">
        <w:rPr>
          <w:sz w:val="24"/>
          <w:szCs w:val="24"/>
          <w:lang w:val="en-GB"/>
        </w:rPr>
        <w:t>r</w:t>
      </w:r>
      <w:r>
        <w:rPr>
          <w:sz w:val="24"/>
          <w:szCs w:val="24"/>
          <w:lang w:val="en-GB"/>
        </w:rPr>
        <w:t>ch and education</w:t>
      </w:r>
      <w:r w:rsidR="003C2500">
        <w:rPr>
          <w:sz w:val="24"/>
          <w:szCs w:val="24"/>
          <w:lang w:val="en-GB"/>
        </w:rPr>
        <w:t>,</w:t>
      </w:r>
      <w:r w:rsidR="007876C7">
        <w:rPr>
          <w:sz w:val="24"/>
          <w:szCs w:val="24"/>
          <w:lang w:val="en-GB"/>
        </w:rPr>
        <w:t xml:space="preserve"> which</w:t>
      </w:r>
      <w:r w:rsidR="007D7111">
        <w:rPr>
          <w:sz w:val="24"/>
          <w:szCs w:val="24"/>
          <w:lang w:val="en-GB"/>
        </w:rPr>
        <w:t xml:space="preserve"> are equally important for realizing the mission of the participa</w:t>
      </w:r>
      <w:r w:rsidR="007876C7">
        <w:rPr>
          <w:sz w:val="24"/>
          <w:szCs w:val="24"/>
          <w:lang w:val="en-GB"/>
        </w:rPr>
        <w:t>nts</w:t>
      </w:r>
      <w:r w:rsidR="006912D5">
        <w:rPr>
          <w:sz w:val="24"/>
          <w:szCs w:val="24"/>
          <w:lang w:val="en-GB"/>
        </w:rPr>
        <w:t xml:space="preserve">. Sustaining </w:t>
      </w:r>
      <w:r w:rsidR="007D7111">
        <w:rPr>
          <w:sz w:val="24"/>
          <w:szCs w:val="24"/>
          <w:lang w:val="en-GB"/>
        </w:rPr>
        <w:t xml:space="preserve">and </w:t>
      </w:r>
      <w:r w:rsidR="006912D5">
        <w:rPr>
          <w:sz w:val="24"/>
          <w:szCs w:val="24"/>
          <w:lang w:val="en-GB"/>
        </w:rPr>
        <w:t>enhancing the quality of education require</w:t>
      </w:r>
      <w:r w:rsidR="003C2500">
        <w:rPr>
          <w:sz w:val="24"/>
          <w:szCs w:val="24"/>
          <w:lang w:val="en-GB"/>
        </w:rPr>
        <w:t>s</w:t>
      </w:r>
      <w:r w:rsidR="006912D5">
        <w:rPr>
          <w:sz w:val="24"/>
          <w:szCs w:val="24"/>
          <w:lang w:val="en-GB"/>
        </w:rPr>
        <w:t xml:space="preserve"> systematic and evidence informed </w:t>
      </w:r>
      <w:r w:rsidR="005C5B95">
        <w:rPr>
          <w:sz w:val="24"/>
          <w:szCs w:val="24"/>
          <w:lang w:val="en-GB"/>
        </w:rPr>
        <w:t xml:space="preserve">policies on </w:t>
      </w:r>
      <w:r w:rsidR="007846F1">
        <w:rPr>
          <w:sz w:val="24"/>
          <w:szCs w:val="24"/>
          <w:lang w:val="en-GB"/>
        </w:rPr>
        <w:t xml:space="preserve">faculty </w:t>
      </w:r>
      <w:r w:rsidR="005C5B95">
        <w:rPr>
          <w:sz w:val="24"/>
          <w:szCs w:val="24"/>
          <w:lang w:val="en-GB"/>
        </w:rPr>
        <w:t xml:space="preserve">development </w:t>
      </w:r>
      <w:r w:rsidR="007846F1">
        <w:rPr>
          <w:sz w:val="24"/>
          <w:szCs w:val="24"/>
          <w:lang w:val="en-GB"/>
        </w:rPr>
        <w:t>and educational development</w:t>
      </w:r>
      <w:r w:rsidR="007D7111">
        <w:rPr>
          <w:sz w:val="24"/>
          <w:szCs w:val="24"/>
          <w:lang w:val="en-GB"/>
        </w:rPr>
        <w:t>.</w:t>
      </w:r>
      <w:r w:rsidR="007846F1">
        <w:rPr>
          <w:sz w:val="24"/>
          <w:szCs w:val="24"/>
          <w:lang w:val="en-GB"/>
        </w:rPr>
        <w:t xml:space="preserve"> </w:t>
      </w:r>
      <w:r w:rsidR="00FF0A70">
        <w:rPr>
          <w:sz w:val="24"/>
          <w:szCs w:val="24"/>
          <w:lang w:val="en-GB"/>
        </w:rPr>
        <w:t>By sharing experiences</w:t>
      </w:r>
      <w:r w:rsidR="00181CD5">
        <w:rPr>
          <w:sz w:val="24"/>
          <w:szCs w:val="24"/>
          <w:lang w:val="en-GB"/>
        </w:rPr>
        <w:t xml:space="preserve"> and discussing ideas</w:t>
      </w:r>
      <w:r w:rsidR="003C2500">
        <w:rPr>
          <w:sz w:val="24"/>
          <w:szCs w:val="24"/>
          <w:lang w:val="en-GB"/>
        </w:rPr>
        <w:t>, perspecti</w:t>
      </w:r>
      <w:r w:rsidR="007876C7">
        <w:rPr>
          <w:sz w:val="24"/>
          <w:szCs w:val="24"/>
          <w:lang w:val="en-GB"/>
        </w:rPr>
        <w:t xml:space="preserve">ves and challenges </w:t>
      </w:r>
      <w:r w:rsidR="003C2500">
        <w:rPr>
          <w:sz w:val="24"/>
          <w:szCs w:val="24"/>
          <w:lang w:val="en-GB"/>
        </w:rPr>
        <w:t>concerning the</w:t>
      </w:r>
      <w:r w:rsidR="00181CD5">
        <w:rPr>
          <w:sz w:val="24"/>
          <w:szCs w:val="24"/>
          <w:lang w:val="en-GB"/>
        </w:rPr>
        <w:t xml:space="preserve"> </w:t>
      </w:r>
      <w:r w:rsidR="003C2500">
        <w:rPr>
          <w:sz w:val="24"/>
          <w:szCs w:val="24"/>
          <w:lang w:val="en-GB"/>
        </w:rPr>
        <w:t>development and implementation of such policies, the members</w:t>
      </w:r>
      <w:r w:rsidR="005C5B95">
        <w:rPr>
          <w:sz w:val="24"/>
          <w:szCs w:val="24"/>
          <w:lang w:val="en-GB"/>
        </w:rPr>
        <w:t xml:space="preserve"> </w:t>
      </w:r>
      <w:r w:rsidR="007876C7">
        <w:rPr>
          <w:sz w:val="24"/>
          <w:szCs w:val="24"/>
          <w:lang w:val="en-GB"/>
        </w:rPr>
        <w:t xml:space="preserve">aim to contribute to sustaining and improving the quality of education at their universities and in higher education in general. </w:t>
      </w:r>
    </w:p>
    <w:p w14:paraId="5D7C7CB2" w14:textId="77777777" w:rsidR="00F856D7" w:rsidRDefault="00F856D7" w:rsidP="003717DC">
      <w:pPr>
        <w:spacing w:after="0" w:line="240" w:lineRule="auto"/>
        <w:rPr>
          <w:sz w:val="24"/>
          <w:szCs w:val="24"/>
          <w:lang w:val="en-GB"/>
        </w:rPr>
      </w:pPr>
    </w:p>
    <w:p w14:paraId="0BC8961A" w14:textId="77777777" w:rsidR="00F856D7" w:rsidRDefault="00F856D7" w:rsidP="003717DC">
      <w:pPr>
        <w:spacing w:after="0" w:line="240" w:lineRule="auto"/>
        <w:rPr>
          <w:b/>
          <w:color w:val="0070C0"/>
          <w:sz w:val="24"/>
          <w:szCs w:val="24"/>
          <w:lang w:val="en-GB"/>
        </w:rPr>
      </w:pPr>
      <w:r w:rsidRPr="00E012E9">
        <w:rPr>
          <w:b/>
          <w:color w:val="0070C0"/>
          <w:sz w:val="24"/>
          <w:szCs w:val="24"/>
          <w:lang w:val="en-GB"/>
        </w:rPr>
        <w:t>Strategy</w:t>
      </w:r>
    </w:p>
    <w:p w14:paraId="2E2EE9DB" w14:textId="72DF6D62" w:rsidR="004F5FA4" w:rsidRDefault="007876C7" w:rsidP="007876C7">
      <w:pPr>
        <w:spacing w:after="0" w:line="240" w:lineRule="auto"/>
        <w:rPr>
          <w:sz w:val="24"/>
          <w:szCs w:val="24"/>
          <w:lang w:val="en-GB"/>
        </w:rPr>
      </w:pPr>
      <w:r>
        <w:rPr>
          <w:sz w:val="24"/>
          <w:szCs w:val="24"/>
          <w:lang w:val="en-GB"/>
        </w:rPr>
        <w:t xml:space="preserve">The annual network meetings </w:t>
      </w:r>
      <w:r w:rsidR="00264761" w:rsidRPr="007876C7">
        <w:rPr>
          <w:sz w:val="24"/>
          <w:szCs w:val="24"/>
          <w:lang w:val="en-GB"/>
        </w:rPr>
        <w:t xml:space="preserve">provide an opportunity for senior policy makers </w:t>
      </w:r>
      <w:r w:rsidRPr="007876C7">
        <w:rPr>
          <w:sz w:val="24"/>
          <w:szCs w:val="24"/>
          <w:lang w:val="en-GB"/>
        </w:rPr>
        <w:t>representing</w:t>
      </w:r>
      <w:r w:rsidR="00264761" w:rsidRPr="007876C7">
        <w:rPr>
          <w:sz w:val="24"/>
          <w:szCs w:val="24"/>
          <w:lang w:val="en-GB"/>
        </w:rPr>
        <w:t xml:space="preserve"> research-intensive universities </w:t>
      </w:r>
      <w:r w:rsidRPr="007876C7">
        <w:rPr>
          <w:sz w:val="24"/>
          <w:szCs w:val="24"/>
          <w:lang w:val="en-GB"/>
        </w:rPr>
        <w:t>with an ex</w:t>
      </w:r>
      <w:r w:rsidR="003C2500">
        <w:rPr>
          <w:sz w:val="24"/>
          <w:szCs w:val="24"/>
          <w:lang w:val="en-GB"/>
        </w:rPr>
        <w:t>cellent reputation in both rese</w:t>
      </w:r>
      <w:r w:rsidRPr="007876C7">
        <w:rPr>
          <w:sz w:val="24"/>
          <w:szCs w:val="24"/>
          <w:lang w:val="en-GB"/>
        </w:rPr>
        <w:t>a</w:t>
      </w:r>
      <w:r w:rsidR="003C2500">
        <w:rPr>
          <w:sz w:val="24"/>
          <w:szCs w:val="24"/>
          <w:lang w:val="en-GB"/>
        </w:rPr>
        <w:t>r</w:t>
      </w:r>
      <w:r w:rsidRPr="007876C7">
        <w:rPr>
          <w:sz w:val="24"/>
          <w:szCs w:val="24"/>
          <w:lang w:val="en-GB"/>
        </w:rPr>
        <w:t xml:space="preserve">ch and education, </w:t>
      </w:r>
      <w:r w:rsidR="00264761" w:rsidRPr="007876C7">
        <w:rPr>
          <w:sz w:val="24"/>
          <w:szCs w:val="24"/>
          <w:lang w:val="en-GB"/>
        </w:rPr>
        <w:t>to meet jointly with the directors of their institutions</w:t>
      </w:r>
      <w:r w:rsidR="00363692" w:rsidRPr="007876C7">
        <w:rPr>
          <w:sz w:val="24"/>
          <w:szCs w:val="24"/>
          <w:lang w:val="en-GB"/>
        </w:rPr>
        <w:t>’</w:t>
      </w:r>
      <w:r w:rsidR="00264761" w:rsidRPr="007876C7">
        <w:rPr>
          <w:sz w:val="24"/>
          <w:szCs w:val="24"/>
          <w:lang w:val="en-GB"/>
        </w:rPr>
        <w:t xml:space="preserve"> academic development units</w:t>
      </w:r>
      <w:r w:rsidR="004F5FA4" w:rsidRPr="007876C7">
        <w:rPr>
          <w:sz w:val="24"/>
          <w:szCs w:val="24"/>
          <w:lang w:val="en-GB"/>
        </w:rPr>
        <w:t xml:space="preserve">, spend time </w:t>
      </w:r>
      <w:proofErr w:type="gramStart"/>
      <w:r w:rsidR="004F5FA4" w:rsidRPr="007876C7">
        <w:rPr>
          <w:sz w:val="24"/>
          <w:szCs w:val="24"/>
          <w:lang w:val="en-GB"/>
        </w:rPr>
        <w:t>together</w:t>
      </w:r>
      <w:proofErr w:type="gramEnd"/>
      <w:r w:rsidR="004F5FA4" w:rsidRPr="007876C7">
        <w:rPr>
          <w:sz w:val="24"/>
          <w:szCs w:val="24"/>
          <w:lang w:val="en-GB"/>
        </w:rPr>
        <w:t xml:space="preserve"> in informal conversations</w:t>
      </w:r>
      <w:r w:rsidR="003C2500">
        <w:rPr>
          <w:sz w:val="24"/>
          <w:szCs w:val="24"/>
          <w:lang w:val="en-GB"/>
        </w:rPr>
        <w:t>, and s</w:t>
      </w:r>
      <w:r w:rsidR="004F5FA4" w:rsidRPr="002733C4">
        <w:rPr>
          <w:sz w:val="24"/>
          <w:szCs w:val="24"/>
          <w:lang w:val="en-GB"/>
        </w:rPr>
        <w:t xml:space="preserve">hare ideas, perspectives, and challenges with </w:t>
      </w:r>
      <w:r>
        <w:rPr>
          <w:sz w:val="24"/>
          <w:szCs w:val="24"/>
          <w:lang w:val="en-GB"/>
        </w:rPr>
        <w:t xml:space="preserve">their </w:t>
      </w:r>
      <w:r w:rsidR="004F5FA4" w:rsidRPr="002733C4">
        <w:rPr>
          <w:sz w:val="24"/>
          <w:szCs w:val="24"/>
          <w:lang w:val="en-GB"/>
        </w:rPr>
        <w:t xml:space="preserve">colleagues from other </w:t>
      </w:r>
      <w:r w:rsidR="00A53BF4">
        <w:rPr>
          <w:sz w:val="24"/>
          <w:szCs w:val="24"/>
          <w:lang w:val="en-GB"/>
        </w:rPr>
        <w:t xml:space="preserve">research-intensive </w:t>
      </w:r>
      <w:r w:rsidR="004F5FA4" w:rsidRPr="002733C4">
        <w:rPr>
          <w:sz w:val="24"/>
          <w:szCs w:val="24"/>
          <w:lang w:val="en-GB"/>
        </w:rPr>
        <w:t>universities across the world.</w:t>
      </w:r>
      <w:r w:rsidR="004F5FA4" w:rsidRPr="004F5FA4">
        <w:rPr>
          <w:sz w:val="24"/>
          <w:szCs w:val="24"/>
          <w:lang w:val="en-GB"/>
        </w:rPr>
        <w:t xml:space="preserve"> </w:t>
      </w:r>
    </w:p>
    <w:p w14:paraId="58CE32BA" w14:textId="77777777" w:rsidR="003C1712" w:rsidRDefault="003C1712" w:rsidP="00A53BF4">
      <w:pPr>
        <w:spacing w:after="0" w:line="240" w:lineRule="auto"/>
        <w:rPr>
          <w:sz w:val="24"/>
          <w:szCs w:val="24"/>
          <w:lang w:val="en-GB"/>
        </w:rPr>
      </w:pPr>
    </w:p>
    <w:p w14:paraId="797CDDF0" w14:textId="053CD97D" w:rsidR="00A53BF4" w:rsidRPr="00A53BF4" w:rsidRDefault="00A53BF4" w:rsidP="00A53BF4">
      <w:pPr>
        <w:spacing w:after="0" w:line="240" w:lineRule="auto"/>
        <w:rPr>
          <w:sz w:val="24"/>
          <w:szCs w:val="24"/>
          <w:lang w:val="en-GB"/>
        </w:rPr>
      </w:pPr>
      <w:r>
        <w:rPr>
          <w:sz w:val="24"/>
          <w:szCs w:val="24"/>
          <w:lang w:val="en-GB"/>
        </w:rPr>
        <w:t xml:space="preserve">As formulated in the foreword to the </w:t>
      </w:r>
      <w:proofErr w:type="gramStart"/>
      <w:r>
        <w:rPr>
          <w:sz w:val="24"/>
          <w:szCs w:val="24"/>
          <w:lang w:val="en-GB"/>
        </w:rPr>
        <w:t>book</w:t>
      </w:r>
      <w:r w:rsidR="003C2500">
        <w:rPr>
          <w:sz w:val="24"/>
          <w:szCs w:val="24"/>
          <w:lang w:val="en-GB"/>
        </w:rPr>
        <w:t xml:space="preserve"> which</w:t>
      </w:r>
      <w:proofErr w:type="gramEnd"/>
      <w:r w:rsidR="003C2500">
        <w:rPr>
          <w:sz w:val="24"/>
          <w:szCs w:val="24"/>
          <w:lang w:val="en-GB"/>
        </w:rPr>
        <w:t xml:space="preserve"> was re</w:t>
      </w:r>
      <w:r w:rsidR="007876C7">
        <w:rPr>
          <w:sz w:val="24"/>
          <w:szCs w:val="24"/>
          <w:lang w:val="en-GB"/>
        </w:rPr>
        <w:t>cently published by the members of the Network</w:t>
      </w:r>
      <w:r>
        <w:rPr>
          <w:rStyle w:val="FootnoteReference"/>
          <w:sz w:val="24"/>
          <w:szCs w:val="24"/>
          <w:lang w:val="en-GB"/>
        </w:rPr>
        <w:footnoteReference w:id="1"/>
      </w:r>
      <w:r w:rsidR="007876C7">
        <w:rPr>
          <w:sz w:val="24"/>
          <w:szCs w:val="24"/>
          <w:lang w:val="en-GB"/>
        </w:rPr>
        <w:t xml:space="preserve">, </w:t>
      </w:r>
      <w:r w:rsidR="003C1712">
        <w:rPr>
          <w:sz w:val="24"/>
          <w:szCs w:val="24"/>
          <w:lang w:val="en-GB"/>
        </w:rPr>
        <w:t>“</w:t>
      </w:r>
      <w:r>
        <w:rPr>
          <w:sz w:val="24"/>
          <w:szCs w:val="24"/>
          <w:lang w:val="en-GB"/>
        </w:rPr>
        <w:t xml:space="preserve">the </w:t>
      </w:r>
      <w:r w:rsidRPr="00A53BF4">
        <w:rPr>
          <w:sz w:val="24"/>
          <w:szCs w:val="24"/>
          <w:lang w:val="en-GB"/>
        </w:rPr>
        <w:t>value in the</w:t>
      </w:r>
      <w:r>
        <w:rPr>
          <w:sz w:val="24"/>
          <w:szCs w:val="24"/>
          <w:lang w:val="en-GB"/>
        </w:rPr>
        <w:t>se</w:t>
      </w:r>
      <w:r w:rsidRPr="00A53BF4">
        <w:rPr>
          <w:sz w:val="24"/>
          <w:szCs w:val="24"/>
          <w:lang w:val="en-GB"/>
        </w:rPr>
        <w:t xml:space="preserve"> conversations </w:t>
      </w:r>
      <w:r>
        <w:rPr>
          <w:sz w:val="24"/>
          <w:szCs w:val="24"/>
          <w:lang w:val="en-GB"/>
        </w:rPr>
        <w:t>is that they allow</w:t>
      </w:r>
      <w:r w:rsidRPr="00A53BF4">
        <w:rPr>
          <w:sz w:val="24"/>
          <w:szCs w:val="24"/>
          <w:lang w:val="en-GB"/>
        </w:rPr>
        <w:t xml:space="preserve"> us to step out</w:t>
      </w:r>
      <w:r>
        <w:rPr>
          <w:sz w:val="24"/>
          <w:szCs w:val="24"/>
          <w:lang w:val="en-GB"/>
        </w:rPr>
        <w:t>side our own frames of referenc</w:t>
      </w:r>
      <w:r w:rsidR="003C1712">
        <w:rPr>
          <w:sz w:val="24"/>
          <w:szCs w:val="24"/>
          <w:lang w:val="en-GB"/>
        </w:rPr>
        <w:t>e</w:t>
      </w:r>
      <w:r>
        <w:rPr>
          <w:sz w:val="24"/>
          <w:szCs w:val="24"/>
          <w:lang w:val="en-GB"/>
        </w:rPr>
        <w:t xml:space="preserve">. </w:t>
      </w:r>
      <w:r w:rsidRPr="00A53BF4">
        <w:rPr>
          <w:sz w:val="24"/>
          <w:szCs w:val="24"/>
          <w:lang w:val="en-GB"/>
        </w:rPr>
        <w:t>This,</w:t>
      </w:r>
      <w:r>
        <w:rPr>
          <w:sz w:val="24"/>
          <w:szCs w:val="24"/>
          <w:lang w:val="en-GB"/>
        </w:rPr>
        <w:t xml:space="preserve"> </w:t>
      </w:r>
      <w:r w:rsidRPr="00A53BF4">
        <w:rPr>
          <w:sz w:val="24"/>
          <w:szCs w:val="24"/>
          <w:lang w:val="en-GB"/>
        </w:rPr>
        <w:t>in turn, help</w:t>
      </w:r>
      <w:r>
        <w:rPr>
          <w:sz w:val="24"/>
          <w:szCs w:val="24"/>
          <w:lang w:val="en-GB"/>
        </w:rPr>
        <w:t>s</w:t>
      </w:r>
      <w:r w:rsidRPr="00A53BF4">
        <w:rPr>
          <w:sz w:val="24"/>
          <w:szCs w:val="24"/>
          <w:lang w:val="en-GB"/>
        </w:rPr>
        <w:t xml:space="preserve"> us see that the ways things </w:t>
      </w:r>
      <w:r>
        <w:rPr>
          <w:sz w:val="24"/>
          <w:szCs w:val="24"/>
          <w:lang w:val="en-GB"/>
        </w:rPr>
        <w:t>a</w:t>
      </w:r>
      <w:r w:rsidRPr="00A53BF4">
        <w:rPr>
          <w:sz w:val="24"/>
          <w:szCs w:val="24"/>
          <w:lang w:val="en-GB"/>
        </w:rPr>
        <w:t>re done in our own institutions</w:t>
      </w:r>
      <w:r>
        <w:rPr>
          <w:sz w:val="24"/>
          <w:szCs w:val="24"/>
          <w:lang w:val="en-GB"/>
        </w:rPr>
        <w:t xml:space="preserve"> – n</w:t>
      </w:r>
      <w:r w:rsidRPr="00A53BF4">
        <w:rPr>
          <w:sz w:val="24"/>
          <w:szCs w:val="24"/>
          <w:lang w:val="en-GB"/>
        </w:rPr>
        <w:t>orms, practices, and values</w:t>
      </w:r>
      <w:r>
        <w:rPr>
          <w:sz w:val="24"/>
          <w:szCs w:val="24"/>
          <w:lang w:val="en-GB"/>
        </w:rPr>
        <w:t xml:space="preserve"> – a</w:t>
      </w:r>
      <w:r w:rsidRPr="00A53BF4">
        <w:rPr>
          <w:sz w:val="24"/>
          <w:szCs w:val="24"/>
          <w:lang w:val="en-GB"/>
        </w:rPr>
        <w:t>re</w:t>
      </w:r>
      <w:r>
        <w:rPr>
          <w:sz w:val="24"/>
          <w:szCs w:val="24"/>
          <w:lang w:val="en-GB"/>
        </w:rPr>
        <w:t xml:space="preserve"> </w:t>
      </w:r>
      <w:r w:rsidRPr="00A53BF4">
        <w:rPr>
          <w:sz w:val="24"/>
          <w:szCs w:val="24"/>
          <w:lang w:val="en-GB"/>
        </w:rPr>
        <w:t>often a result of historical accidents</w:t>
      </w:r>
      <w:r>
        <w:rPr>
          <w:sz w:val="24"/>
          <w:szCs w:val="24"/>
          <w:lang w:val="en-GB"/>
        </w:rPr>
        <w:t xml:space="preserve"> </w:t>
      </w:r>
      <w:r w:rsidRPr="00A53BF4">
        <w:rPr>
          <w:sz w:val="24"/>
          <w:szCs w:val="24"/>
          <w:lang w:val="en-GB"/>
        </w:rPr>
        <w:t>or unexamined beliefs. And that mean</w:t>
      </w:r>
      <w:r w:rsidR="003C1712">
        <w:rPr>
          <w:sz w:val="24"/>
          <w:szCs w:val="24"/>
          <w:lang w:val="en-GB"/>
        </w:rPr>
        <w:t>s</w:t>
      </w:r>
      <w:r w:rsidRPr="00A53BF4">
        <w:rPr>
          <w:sz w:val="24"/>
          <w:szCs w:val="24"/>
          <w:lang w:val="en-GB"/>
        </w:rPr>
        <w:t xml:space="preserve"> they c</w:t>
      </w:r>
      <w:r>
        <w:rPr>
          <w:sz w:val="24"/>
          <w:szCs w:val="24"/>
          <w:lang w:val="en-GB"/>
        </w:rPr>
        <w:t>an</w:t>
      </w:r>
      <w:r w:rsidRPr="00A53BF4">
        <w:rPr>
          <w:sz w:val="24"/>
          <w:szCs w:val="24"/>
          <w:lang w:val="en-GB"/>
        </w:rPr>
        <w:t xml:space="preserve"> be improved upon</w:t>
      </w:r>
      <w:r>
        <w:rPr>
          <w:sz w:val="24"/>
          <w:szCs w:val="24"/>
          <w:lang w:val="en-GB"/>
        </w:rPr>
        <w:t>, s</w:t>
      </w:r>
      <w:r w:rsidRPr="00A53BF4">
        <w:rPr>
          <w:sz w:val="24"/>
          <w:szCs w:val="24"/>
          <w:lang w:val="en-GB"/>
        </w:rPr>
        <w:t>o that we may strengthen the enterprise of</w:t>
      </w:r>
      <w:r>
        <w:rPr>
          <w:sz w:val="24"/>
          <w:szCs w:val="24"/>
          <w:lang w:val="en-GB"/>
        </w:rPr>
        <w:t xml:space="preserve"> </w:t>
      </w:r>
      <w:r w:rsidRPr="00A53BF4">
        <w:rPr>
          <w:sz w:val="24"/>
          <w:szCs w:val="24"/>
          <w:lang w:val="en-GB"/>
        </w:rPr>
        <w:t>undergraduate education that we are committed to</w:t>
      </w:r>
      <w:r>
        <w:rPr>
          <w:sz w:val="24"/>
          <w:szCs w:val="24"/>
          <w:lang w:val="en-GB"/>
        </w:rPr>
        <w:t>.</w:t>
      </w:r>
      <w:r w:rsidR="003C1712">
        <w:rPr>
          <w:sz w:val="24"/>
          <w:szCs w:val="24"/>
          <w:lang w:val="en-GB"/>
        </w:rPr>
        <w:t>”</w:t>
      </w:r>
      <w:r>
        <w:rPr>
          <w:sz w:val="24"/>
          <w:szCs w:val="24"/>
          <w:lang w:val="en-GB"/>
        </w:rPr>
        <w:t xml:space="preserve"> </w:t>
      </w:r>
    </w:p>
    <w:p w14:paraId="465B2E42" w14:textId="77777777" w:rsidR="00990A99" w:rsidRPr="00A53BF4" w:rsidRDefault="00990A99" w:rsidP="00A53BF4">
      <w:pPr>
        <w:spacing w:after="0" w:line="240" w:lineRule="auto"/>
        <w:rPr>
          <w:sz w:val="24"/>
          <w:szCs w:val="24"/>
          <w:lang w:val="en-GB"/>
        </w:rPr>
      </w:pPr>
    </w:p>
    <w:p w14:paraId="330A6D5F" w14:textId="77777777" w:rsidR="00335383" w:rsidRDefault="00335383" w:rsidP="00335383">
      <w:pPr>
        <w:spacing w:after="0" w:line="240" w:lineRule="auto"/>
        <w:rPr>
          <w:b/>
          <w:color w:val="0070C0"/>
          <w:sz w:val="24"/>
          <w:szCs w:val="24"/>
          <w:lang w:val="en-GB"/>
        </w:rPr>
      </w:pPr>
      <w:r w:rsidRPr="00896DCB">
        <w:rPr>
          <w:b/>
          <w:color w:val="0070C0"/>
          <w:sz w:val="24"/>
          <w:szCs w:val="24"/>
          <w:lang w:val="en-GB"/>
        </w:rPr>
        <w:t xml:space="preserve">Practical </w:t>
      </w:r>
      <w:r>
        <w:rPr>
          <w:b/>
          <w:color w:val="0070C0"/>
          <w:sz w:val="24"/>
          <w:szCs w:val="24"/>
          <w:lang w:val="en-GB"/>
        </w:rPr>
        <w:t>set-up</w:t>
      </w:r>
    </w:p>
    <w:p w14:paraId="1CFCA7A1" w14:textId="6DCD6BA2" w:rsidR="00196262" w:rsidRDefault="000D6E68" w:rsidP="000D6E68">
      <w:pPr>
        <w:spacing w:after="0" w:line="240" w:lineRule="auto"/>
        <w:rPr>
          <w:sz w:val="24"/>
          <w:szCs w:val="24"/>
          <w:lang w:val="en-GB"/>
        </w:rPr>
      </w:pPr>
      <w:r>
        <w:rPr>
          <w:sz w:val="24"/>
          <w:szCs w:val="24"/>
          <w:lang w:val="en-GB"/>
        </w:rPr>
        <w:t>The</w:t>
      </w:r>
      <w:r w:rsidR="00363692" w:rsidRPr="000D6E68">
        <w:rPr>
          <w:sz w:val="24"/>
          <w:szCs w:val="24"/>
          <w:lang w:val="en-GB"/>
        </w:rPr>
        <w:t xml:space="preserve"> network consists </w:t>
      </w:r>
      <w:r w:rsidR="00335383" w:rsidRPr="000D6E68">
        <w:rPr>
          <w:sz w:val="24"/>
          <w:szCs w:val="24"/>
          <w:lang w:val="en-GB"/>
        </w:rPr>
        <w:t>of research universities with active centres for teaching and learning. The network is loosely coupled: besides the annual meeting</w:t>
      </w:r>
      <w:r w:rsidR="003C1712" w:rsidRPr="000D6E68">
        <w:rPr>
          <w:sz w:val="24"/>
          <w:szCs w:val="24"/>
          <w:lang w:val="en-GB"/>
        </w:rPr>
        <w:t>,</w:t>
      </w:r>
      <w:r w:rsidR="00335383" w:rsidRPr="000D6E68">
        <w:rPr>
          <w:sz w:val="24"/>
          <w:szCs w:val="24"/>
          <w:lang w:val="en-GB"/>
        </w:rPr>
        <w:t xml:space="preserve"> contacts are non-structured and depend on the individual contacts between universities or </w:t>
      </w:r>
      <w:r w:rsidR="00196262">
        <w:rPr>
          <w:sz w:val="24"/>
          <w:szCs w:val="24"/>
          <w:lang w:val="en-GB"/>
        </w:rPr>
        <w:t xml:space="preserve">their </w:t>
      </w:r>
      <w:r w:rsidR="00335383" w:rsidRPr="000D6E68">
        <w:rPr>
          <w:sz w:val="24"/>
          <w:szCs w:val="24"/>
          <w:lang w:val="en-GB"/>
        </w:rPr>
        <w:t xml:space="preserve">representatives. </w:t>
      </w:r>
    </w:p>
    <w:p w14:paraId="3212B5B9" w14:textId="7A67633F" w:rsidR="00335383" w:rsidRPr="000D6E68" w:rsidRDefault="00335383" w:rsidP="000D6E68">
      <w:pPr>
        <w:spacing w:after="0" w:line="240" w:lineRule="auto"/>
        <w:rPr>
          <w:sz w:val="24"/>
          <w:szCs w:val="24"/>
          <w:lang w:val="en-GB"/>
        </w:rPr>
      </w:pPr>
      <w:r w:rsidRPr="000D6E68">
        <w:rPr>
          <w:sz w:val="24"/>
          <w:szCs w:val="24"/>
          <w:lang w:val="en-GB"/>
        </w:rPr>
        <w:t>New universities are invited to join the network if all current members (that is, those present at the annual meeting) agree.</w:t>
      </w:r>
      <w:r w:rsidR="00196262" w:rsidRPr="00196262">
        <w:rPr>
          <w:sz w:val="24"/>
          <w:szCs w:val="24"/>
          <w:lang w:val="en-GB"/>
        </w:rPr>
        <w:t xml:space="preserve"> </w:t>
      </w:r>
      <w:r w:rsidR="00196262">
        <w:rPr>
          <w:sz w:val="24"/>
          <w:szCs w:val="24"/>
          <w:lang w:val="en-GB"/>
        </w:rPr>
        <w:t>The meetings are the most visible activity of the network:</w:t>
      </w:r>
    </w:p>
    <w:p w14:paraId="12D23661" w14:textId="42D6FDD9" w:rsidR="00335383" w:rsidRDefault="00335383" w:rsidP="00335383">
      <w:pPr>
        <w:pStyle w:val="ListParagraph"/>
        <w:numPr>
          <w:ilvl w:val="0"/>
          <w:numId w:val="2"/>
        </w:numPr>
        <w:spacing w:after="0" w:line="240" w:lineRule="auto"/>
        <w:rPr>
          <w:sz w:val="24"/>
          <w:szCs w:val="24"/>
          <w:lang w:val="en-GB"/>
        </w:rPr>
      </w:pPr>
      <w:r w:rsidRPr="00335383">
        <w:rPr>
          <w:sz w:val="24"/>
          <w:szCs w:val="24"/>
          <w:lang w:val="en-GB"/>
        </w:rPr>
        <w:t>Universities take turn</w:t>
      </w:r>
      <w:r w:rsidR="003C1712">
        <w:rPr>
          <w:sz w:val="24"/>
          <w:szCs w:val="24"/>
          <w:lang w:val="en-GB"/>
        </w:rPr>
        <w:t>s</w:t>
      </w:r>
      <w:r w:rsidRPr="00335383">
        <w:rPr>
          <w:sz w:val="24"/>
          <w:szCs w:val="24"/>
          <w:lang w:val="en-GB"/>
        </w:rPr>
        <w:t xml:space="preserve"> in hosting a yearly two-day meeting</w:t>
      </w:r>
      <w:r w:rsidR="00363692">
        <w:rPr>
          <w:sz w:val="24"/>
          <w:szCs w:val="24"/>
          <w:lang w:val="en-GB"/>
        </w:rPr>
        <w:t xml:space="preserve">, </w:t>
      </w:r>
      <w:r w:rsidRPr="00335383">
        <w:rPr>
          <w:sz w:val="24"/>
          <w:szCs w:val="24"/>
          <w:lang w:val="en-GB"/>
        </w:rPr>
        <w:t>and act as coordinator of the Network for that year</w:t>
      </w:r>
      <w:r w:rsidR="003C1712">
        <w:rPr>
          <w:sz w:val="24"/>
          <w:szCs w:val="24"/>
          <w:lang w:val="en-GB"/>
        </w:rPr>
        <w:t>.</w:t>
      </w:r>
    </w:p>
    <w:p w14:paraId="257CD53F" w14:textId="77777777" w:rsidR="00335383" w:rsidRDefault="00335383" w:rsidP="00335383">
      <w:pPr>
        <w:pStyle w:val="ListParagraph"/>
        <w:numPr>
          <w:ilvl w:val="0"/>
          <w:numId w:val="2"/>
        </w:numPr>
        <w:spacing w:after="0" w:line="240" w:lineRule="auto"/>
        <w:rPr>
          <w:sz w:val="24"/>
          <w:szCs w:val="24"/>
          <w:lang w:val="en-GB"/>
        </w:rPr>
      </w:pPr>
      <w:r w:rsidRPr="00335383">
        <w:rPr>
          <w:sz w:val="24"/>
          <w:szCs w:val="24"/>
          <w:lang w:val="en-GB"/>
        </w:rPr>
        <w:lastRenderedPageBreak/>
        <w:t>Universities participate with two representatives: a senior policy maker (typically the Vice-Chancellor, Vice-Rector, or Dean) and an expert in teaching and learning (typically the director of the Teaching and Learning centre or unit)</w:t>
      </w:r>
      <w:r w:rsidR="003C1712">
        <w:rPr>
          <w:sz w:val="24"/>
          <w:szCs w:val="24"/>
          <w:lang w:val="en-GB"/>
        </w:rPr>
        <w:t>.</w:t>
      </w:r>
      <w:r w:rsidRPr="00335383">
        <w:rPr>
          <w:sz w:val="24"/>
          <w:szCs w:val="24"/>
          <w:lang w:val="en-GB"/>
        </w:rPr>
        <w:t xml:space="preserve"> </w:t>
      </w:r>
    </w:p>
    <w:p w14:paraId="410D9998" w14:textId="77777777" w:rsidR="00E0618F" w:rsidRDefault="00335383" w:rsidP="00E0618F">
      <w:pPr>
        <w:pStyle w:val="ListParagraph"/>
        <w:numPr>
          <w:ilvl w:val="0"/>
          <w:numId w:val="2"/>
        </w:numPr>
        <w:spacing w:after="0" w:line="240" w:lineRule="auto"/>
        <w:rPr>
          <w:sz w:val="24"/>
          <w:szCs w:val="24"/>
          <w:lang w:val="en-GB"/>
        </w:rPr>
      </w:pPr>
      <w:r w:rsidRPr="00335383">
        <w:rPr>
          <w:sz w:val="24"/>
          <w:szCs w:val="24"/>
          <w:lang w:val="en-GB"/>
        </w:rPr>
        <w:t xml:space="preserve">Each university pays for the travel and housing expenses for its representatives. The host university assumes the other meeting costs. </w:t>
      </w:r>
    </w:p>
    <w:p w14:paraId="41CA2F8A" w14:textId="4CD550D0" w:rsidR="00E0618F" w:rsidRDefault="00E0618F" w:rsidP="00E0618F">
      <w:pPr>
        <w:pStyle w:val="ListParagraph"/>
        <w:numPr>
          <w:ilvl w:val="0"/>
          <w:numId w:val="2"/>
        </w:numPr>
        <w:spacing w:after="0" w:line="240" w:lineRule="auto"/>
        <w:rPr>
          <w:sz w:val="24"/>
          <w:szCs w:val="24"/>
          <w:lang w:val="en-GB"/>
        </w:rPr>
      </w:pPr>
      <w:r w:rsidRPr="00E0618F">
        <w:rPr>
          <w:sz w:val="24"/>
          <w:szCs w:val="24"/>
          <w:lang w:val="en-GB"/>
        </w:rPr>
        <w:t>Topics for the</w:t>
      </w:r>
      <w:r>
        <w:rPr>
          <w:sz w:val="24"/>
          <w:szCs w:val="24"/>
          <w:lang w:val="en-GB"/>
        </w:rPr>
        <w:t xml:space="preserve"> annual meeting may vary widely, </w:t>
      </w:r>
      <w:r w:rsidR="002A540A">
        <w:rPr>
          <w:sz w:val="24"/>
          <w:szCs w:val="24"/>
          <w:lang w:val="en-GB"/>
        </w:rPr>
        <w:t>as they depend on interests of participants and current developments, challenges and opportunities in the field. For instance, they</w:t>
      </w:r>
      <w:r>
        <w:rPr>
          <w:sz w:val="24"/>
          <w:szCs w:val="24"/>
          <w:lang w:val="en-GB"/>
        </w:rPr>
        <w:t xml:space="preserve"> may include</w:t>
      </w:r>
      <w:r w:rsidR="00363692">
        <w:rPr>
          <w:sz w:val="24"/>
          <w:szCs w:val="24"/>
          <w:lang w:val="en-GB"/>
        </w:rPr>
        <w:t>:</w:t>
      </w:r>
    </w:p>
    <w:p w14:paraId="048E9A60" w14:textId="065B7830" w:rsidR="00E0618F" w:rsidRDefault="00E0618F" w:rsidP="00E0618F">
      <w:pPr>
        <w:pStyle w:val="ListParagraph"/>
        <w:numPr>
          <w:ilvl w:val="1"/>
          <w:numId w:val="2"/>
        </w:numPr>
        <w:spacing w:after="0" w:line="240" w:lineRule="auto"/>
        <w:rPr>
          <w:sz w:val="24"/>
          <w:szCs w:val="24"/>
          <w:lang w:val="en-GB"/>
        </w:rPr>
      </w:pPr>
      <w:proofErr w:type="gramStart"/>
      <w:r w:rsidRPr="00E0618F">
        <w:rPr>
          <w:sz w:val="24"/>
          <w:szCs w:val="24"/>
          <w:lang w:val="en-GB"/>
        </w:rPr>
        <w:t>strategic</w:t>
      </w:r>
      <w:proofErr w:type="gramEnd"/>
      <w:r w:rsidRPr="00E0618F">
        <w:rPr>
          <w:sz w:val="24"/>
          <w:szCs w:val="24"/>
          <w:lang w:val="en-GB"/>
        </w:rPr>
        <w:t xml:space="preserve"> positioning of the </w:t>
      </w:r>
      <w:proofErr w:type="spellStart"/>
      <w:r w:rsidRPr="00E0618F">
        <w:rPr>
          <w:sz w:val="24"/>
          <w:szCs w:val="24"/>
          <w:lang w:val="en-GB"/>
        </w:rPr>
        <w:t>centers</w:t>
      </w:r>
      <w:proofErr w:type="spellEnd"/>
      <w:r w:rsidRPr="00E0618F">
        <w:rPr>
          <w:sz w:val="24"/>
          <w:szCs w:val="24"/>
          <w:lang w:val="en-GB"/>
        </w:rPr>
        <w:t xml:space="preserve"> for advancement for teaching and learning</w:t>
      </w:r>
      <w:r w:rsidR="00363692">
        <w:rPr>
          <w:sz w:val="24"/>
          <w:szCs w:val="24"/>
          <w:lang w:val="en-GB"/>
        </w:rPr>
        <w:t>;</w:t>
      </w:r>
    </w:p>
    <w:p w14:paraId="6DC51529" w14:textId="7C1E932B" w:rsidR="00E0618F" w:rsidRDefault="00E0618F" w:rsidP="00E0618F">
      <w:pPr>
        <w:pStyle w:val="ListParagraph"/>
        <w:numPr>
          <w:ilvl w:val="1"/>
          <w:numId w:val="2"/>
        </w:numPr>
        <w:spacing w:after="0" w:line="240" w:lineRule="auto"/>
        <w:rPr>
          <w:sz w:val="24"/>
          <w:szCs w:val="24"/>
          <w:lang w:val="en-GB"/>
        </w:rPr>
      </w:pPr>
      <w:proofErr w:type="gramStart"/>
      <w:r w:rsidRPr="00E0618F">
        <w:rPr>
          <w:sz w:val="24"/>
          <w:szCs w:val="24"/>
          <w:lang w:val="en-GB"/>
        </w:rPr>
        <w:t>quality</w:t>
      </w:r>
      <w:proofErr w:type="gramEnd"/>
      <w:r w:rsidRPr="00E0618F">
        <w:rPr>
          <w:sz w:val="24"/>
          <w:szCs w:val="24"/>
          <w:lang w:val="en-GB"/>
        </w:rPr>
        <w:t xml:space="preserve"> assurance mechanisms</w:t>
      </w:r>
      <w:r w:rsidR="00363692">
        <w:rPr>
          <w:sz w:val="24"/>
          <w:szCs w:val="24"/>
          <w:lang w:val="en-GB"/>
        </w:rPr>
        <w:t>;</w:t>
      </w:r>
    </w:p>
    <w:p w14:paraId="3CC9C041" w14:textId="02164596" w:rsidR="00E0618F" w:rsidRDefault="00E0618F" w:rsidP="00E0618F">
      <w:pPr>
        <w:pStyle w:val="ListParagraph"/>
        <w:numPr>
          <w:ilvl w:val="1"/>
          <w:numId w:val="2"/>
        </w:numPr>
        <w:spacing w:after="0" w:line="240" w:lineRule="auto"/>
        <w:rPr>
          <w:sz w:val="24"/>
          <w:szCs w:val="24"/>
          <w:lang w:val="en-GB"/>
        </w:rPr>
      </w:pPr>
      <w:proofErr w:type="gramStart"/>
      <w:r w:rsidRPr="00E0618F">
        <w:rPr>
          <w:sz w:val="24"/>
          <w:szCs w:val="24"/>
          <w:lang w:val="en-GB"/>
        </w:rPr>
        <w:t>the</w:t>
      </w:r>
      <w:proofErr w:type="gramEnd"/>
      <w:r w:rsidRPr="00E0618F">
        <w:rPr>
          <w:sz w:val="24"/>
          <w:szCs w:val="24"/>
          <w:lang w:val="en-GB"/>
        </w:rPr>
        <w:t xml:space="preserve"> relationship between organi</w:t>
      </w:r>
      <w:r w:rsidR="00363692">
        <w:rPr>
          <w:sz w:val="24"/>
          <w:szCs w:val="24"/>
          <w:lang w:val="en-GB"/>
        </w:rPr>
        <w:t>s</w:t>
      </w:r>
      <w:r w:rsidRPr="00E0618F">
        <w:rPr>
          <w:sz w:val="24"/>
          <w:szCs w:val="24"/>
          <w:lang w:val="en-GB"/>
        </w:rPr>
        <w:t>ational infrastructure, and norms and practices related to teaching and learning</w:t>
      </w:r>
      <w:r w:rsidR="00363692">
        <w:rPr>
          <w:sz w:val="24"/>
          <w:szCs w:val="24"/>
          <w:lang w:val="en-GB"/>
        </w:rPr>
        <w:t>;</w:t>
      </w:r>
    </w:p>
    <w:p w14:paraId="22E148EB" w14:textId="37CDDAA2" w:rsidR="00E0618F" w:rsidRDefault="00E0618F" w:rsidP="00E0618F">
      <w:pPr>
        <w:pStyle w:val="ListParagraph"/>
        <w:numPr>
          <w:ilvl w:val="1"/>
          <w:numId w:val="2"/>
        </w:numPr>
        <w:spacing w:after="0" w:line="240" w:lineRule="auto"/>
        <w:rPr>
          <w:sz w:val="24"/>
          <w:szCs w:val="24"/>
          <w:lang w:val="en-GB"/>
        </w:rPr>
      </w:pPr>
      <w:proofErr w:type="gramStart"/>
      <w:r w:rsidRPr="00E0618F">
        <w:rPr>
          <w:sz w:val="24"/>
          <w:szCs w:val="24"/>
          <w:lang w:val="en-GB"/>
        </w:rPr>
        <w:t>faculty</w:t>
      </w:r>
      <w:proofErr w:type="gramEnd"/>
      <w:r w:rsidRPr="00E0618F">
        <w:rPr>
          <w:sz w:val="24"/>
          <w:szCs w:val="24"/>
          <w:lang w:val="en-GB"/>
        </w:rPr>
        <w:t xml:space="preserve"> training</w:t>
      </w:r>
      <w:r>
        <w:rPr>
          <w:sz w:val="24"/>
          <w:szCs w:val="24"/>
          <w:lang w:val="en-GB"/>
        </w:rPr>
        <w:t xml:space="preserve"> and development</w:t>
      </w:r>
      <w:r w:rsidR="00363692">
        <w:rPr>
          <w:sz w:val="24"/>
          <w:szCs w:val="24"/>
          <w:lang w:val="en-GB"/>
        </w:rPr>
        <w:t>;</w:t>
      </w:r>
    </w:p>
    <w:p w14:paraId="37B727E7" w14:textId="4A210DF7" w:rsidR="00E0618F" w:rsidRDefault="00E0618F" w:rsidP="00E0618F">
      <w:pPr>
        <w:pStyle w:val="ListParagraph"/>
        <w:numPr>
          <w:ilvl w:val="1"/>
          <w:numId w:val="2"/>
        </w:numPr>
        <w:spacing w:after="0" w:line="240" w:lineRule="auto"/>
        <w:rPr>
          <w:sz w:val="24"/>
          <w:szCs w:val="24"/>
          <w:lang w:val="en-GB"/>
        </w:rPr>
      </w:pPr>
      <w:proofErr w:type="gramStart"/>
      <w:r>
        <w:rPr>
          <w:sz w:val="24"/>
          <w:szCs w:val="24"/>
          <w:lang w:val="en-GB"/>
        </w:rPr>
        <w:t>teaching</w:t>
      </w:r>
      <w:proofErr w:type="gramEnd"/>
      <w:r>
        <w:rPr>
          <w:sz w:val="24"/>
          <w:szCs w:val="24"/>
          <w:lang w:val="en-GB"/>
        </w:rPr>
        <w:t xml:space="preserve"> career</w:t>
      </w:r>
      <w:r w:rsidR="003C1712">
        <w:rPr>
          <w:sz w:val="24"/>
          <w:szCs w:val="24"/>
          <w:lang w:val="en-GB"/>
        </w:rPr>
        <w:t>s</w:t>
      </w:r>
      <w:r w:rsidR="00363692">
        <w:rPr>
          <w:sz w:val="24"/>
          <w:szCs w:val="24"/>
          <w:lang w:val="en-GB"/>
        </w:rPr>
        <w:t>;</w:t>
      </w:r>
      <w:r w:rsidRPr="00E0618F">
        <w:rPr>
          <w:sz w:val="24"/>
          <w:szCs w:val="24"/>
          <w:lang w:val="en-GB"/>
        </w:rPr>
        <w:t xml:space="preserve"> </w:t>
      </w:r>
    </w:p>
    <w:p w14:paraId="08829C2B" w14:textId="3C8EF9BC" w:rsidR="00E0618F" w:rsidRDefault="00E0618F" w:rsidP="00E0618F">
      <w:pPr>
        <w:pStyle w:val="ListParagraph"/>
        <w:numPr>
          <w:ilvl w:val="1"/>
          <w:numId w:val="2"/>
        </w:numPr>
        <w:spacing w:after="0" w:line="240" w:lineRule="auto"/>
        <w:rPr>
          <w:sz w:val="24"/>
          <w:szCs w:val="24"/>
          <w:lang w:val="en-GB"/>
        </w:rPr>
      </w:pPr>
      <w:proofErr w:type="gramStart"/>
      <w:r w:rsidRPr="00E0618F">
        <w:rPr>
          <w:sz w:val="24"/>
          <w:szCs w:val="24"/>
          <w:lang w:val="en-GB"/>
        </w:rPr>
        <w:t>how</w:t>
      </w:r>
      <w:proofErr w:type="gramEnd"/>
      <w:r w:rsidRPr="00E0618F">
        <w:rPr>
          <w:sz w:val="24"/>
          <w:szCs w:val="24"/>
          <w:lang w:val="en-GB"/>
        </w:rPr>
        <w:t xml:space="preserve"> to help </w:t>
      </w:r>
      <w:r>
        <w:rPr>
          <w:sz w:val="24"/>
          <w:szCs w:val="24"/>
          <w:lang w:val="en-GB"/>
        </w:rPr>
        <w:t>students to develop as learners</w:t>
      </w:r>
      <w:r w:rsidR="00363692">
        <w:rPr>
          <w:sz w:val="24"/>
          <w:szCs w:val="24"/>
          <w:lang w:val="en-GB"/>
        </w:rPr>
        <w:t>;</w:t>
      </w:r>
    </w:p>
    <w:p w14:paraId="47192AD1" w14:textId="77777777" w:rsidR="00990A99" w:rsidRPr="00896DCB" w:rsidRDefault="00990A99" w:rsidP="0070170C">
      <w:pPr>
        <w:spacing w:after="0" w:line="240" w:lineRule="auto"/>
        <w:rPr>
          <w:sz w:val="24"/>
          <w:szCs w:val="24"/>
          <w:lang w:val="en-GB"/>
        </w:rPr>
      </w:pPr>
    </w:p>
    <w:p w14:paraId="2B8C678C" w14:textId="77777777" w:rsidR="00896DCB" w:rsidRDefault="00990A99" w:rsidP="00896DCB">
      <w:pPr>
        <w:spacing w:after="0" w:line="240" w:lineRule="auto"/>
        <w:rPr>
          <w:b/>
          <w:color w:val="1F497D" w:themeColor="text2"/>
          <w:sz w:val="24"/>
          <w:szCs w:val="24"/>
          <w:lang w:val="en-GB"/>
        </w:rPr>
      </w:pPr>
      <w:r w:rsidRPr="00896DCB">
        <w:rPr>
          <w:b/>
          <w:color w:val="0070C0"/>
          <w:sz w:val="24"/>
          <w:szCs w:val="24"/>
          <w:lang w:val="en-GB"/>
        </w:rPr>
        <w:t>History</w:t>
      </w:r>
      <w:r w:rsidRPr="00896DCB">
        <w:rPr>
          <w:b/>
          <w:color w:val="1F497D" w:themeColor="text2"/>
          <w:sz w:val="24"/>
          <w:szCs w:val="24"/>
          <w:lang w:val="en-GB"/>
        </w:rPr>
        <w:t xml:space="preserve"> </w:t>
      </w:r>
    </w:p>
    <w:p w14:paraId="446D349C" w14:textId="77777777" w:rsidR="00896DCB" w:rsidRPr="00896DCB" w:rsidRDefault="00990A99" w:rsidP="00896DCB">
      <w:pPr>
        <w:spacing w:after="0" w:line="240" w:lineRule="auto"/>
        <w:rPr>
          <w:sz w:val="24"/>
          <w:szCs w:val="24"/>
          <w:lang w:val="en-GB"/>
        </w:rPr>
      </w:pPr>
      <w:r w:rsidRPr="00896DCB">
        <w:rPr>
          <w:sz w:val="20"/>
          <w:szCs w:val="20"/>
          <w:lang w:val="en-GB"/>
        </w:rPr>
        <w:t>(</w:t>
      </w:r>
      <w:r w:rsidR="00896DCB" w:rsidRPr="00896DCB">
        <w:rPr>
          <w:sz w:val="20"/>
          <w:szCs w:val="20"/>
          <w:lang w:val="en-GB"/>
        </w:rPr>
        <w:t xml:space="preserve">Source: Foreword of ‘Strengthening teaching and learning is research universities. </w:t>
      </w:r>
      <w:proofErr w:type="gramStart"/>
      <w:r w:rsidR="00896DCB" w:rsidRPr="00896DCB">
        <w:rPr>
          <w:sz w:val="20"/>
          <w:szCs w:val="20"/>
          <w:lang w:val="en-GB"/>
        </w:rPr>
        <w:t>Strategies and Initiatives for Institutional Change.</w:t>
      </w:r>
      <w:proofErr w:type="gramEnd"/>
      <w:r w:rsidR="00896DCB" w:rsidRPr="00896DCB">
        <w:rPr>
          <w:sz w:val="20"/>
          <w:szCs w:val="20"/>
          <w:lang w:val="en-GB"/>
        </w:rPr>
        <w:t xml:space="preserve"> Edit. B </w:t>
      </w:r>
      <w:proofErr w:type="spellStart"/>
      <w:r w:rsidR="00896DCB" w:rsidRPr="00896DCB">
        <w:rPr>
          <w:sz w:val="20"/>
          <w:szCs w:val="20"/>
          <w:lang w:val="en-GB"/>
        </w:rPr>
        <w:t>Stensaker</w:t>
      </w:r>
      <w:proofErr w:type="spellEnd"/>
      <w:r w:rsidR="00896DCB" w:rsidRPr="00896DCB">
        <w:rPr>
          <w:sz w:val="20"/>
          <w:szCs w:val="20"/>
          <w:lang w:val="en-GB"/>
        </w:rPr>
        <w:t xml:space="preserve">, GT </w:t>
      </w:r>
      <w:proofErr w:type="spellStart"/>
      <w:r w:rsidR="00896DCB" w:rsidRPr="00896DCB">
        <w:rPr>
          <w:sz w:val="20"/>
          <w:szCs w:val="20"/>
          <w:lang w:val="en-GB"/>
        </w:rPr>
        <w:t>Bilbow</w:t>
      </w:r>
      <w:proofErr w:type="spellEnd"/>
      <w:r w:rsidR="00896DCB" w:rsidRPr="00896DCB">
        <w:rPr>
          <w:sz w:val="20"/>
          <w:szCs w:val="20"/>
          <w:lang w:val="en-GB"/>
        </w:rPr>
        <w:t xml:space="preserve">, L </w:t>
      </w:r>
      <w:proofErr w:type="spellStart"/>
      <w:r w:rsidR="00896DCB" w:rsidRPr="00896DCB">
        <w:rPr>
          <w:sz w:val="20"/>
          <w:szCs w:val="20"/>
          <w:lang w:val="en-GB"/>
        </w:rPr>
        <w:t>Breslow</w:t>
      </w:r>
      <w:proofErr w:type="spellEnd"/>
      <w:r w:rsidR="00896DCB" w:rsidRPr="00896DCB">
        <w:rPr>
          <w:sz w:val="20"/>
          <w:szCs w:val="20"/>
          <w:lang w:val="en-GB"/>
        </w:rPr>
        <w:t xml:space="preserve">, R van der </w:t>
      </w:r>
      <w:proofErr w:type="spellStart"/>
      <w:r w:rsidR="00896DCB" w:rsidRPr="00896DCB">
        <w:rPr>
          <w:sz w:val="20"/>
          <w:szCs w:val="20"/>
          <w:lang w:val="en-GB"/>
        </w:rPr>
        <w:t>Vaart</w:t>
      </w:r>
      <w:proofErr w:type="spellEnd"/>
      <w:r w:rsidR="00896DCB" w:rsidRPr="00896DCB">
        <w:rPr>
          <w:sz w:val="20"/>
          <w:szCs w:val="20"/>
          <w:lang w:val="en-GB"/>
        </w:rPr>
        <w:t>)</w:t>
      </w:r>
    </w:p>
    <w:p w14:paraId="2C881AD7" w14:textId="77777777" w:rsidR="00990A99" w:rsidRPr="00896DCB" w:rsidRDefault="00990A99" w:rsidP="0070170C">
      <w:pPr>
        <w:spacing w:after="0" w:line="240" w:lineRule="auto"/>
        <w:rPr>
          <w:sz w:val="24"/>
          <w:szCs w:val="24"/>
          <w:lang w:val="en-GB"/>
        </w:rPr>
      </w:pPr>
    </w:p>
    <w:p w14:paraId="7C7A7F98" w14:textId="5A763DA9" w:rsidR="00990A99" w:rsidRDefault="00990A99" w:rsidP="0070260B">
      <w:pPr>
        <w:spacing w:after="0" w:line="240" w:lineRule="auto"/>
        <w:rPr>
          <w:sz w:val="24"/>
          <w:szCs w:val="24"/>
          <w:lang w:val="en-GB"/>
        </w:rPr>
      </w:pPr>
      <w:proofErr w:type="gramStart"/>
      <w:r w:rsidRPr="00896DCB">
        <w:rPr>
          <w:sz w:val="24"/>
          <w:szCs w:val="24"/>
          <w:lang w:val="en-GB"/>
        </w:rPr>
        <w:t>The</w:t>
      </w:r>
      <w:r w:rsidR="002A540A">
        <w:rPr>
          <w:sz w:val="24"/>
          <w:szCs w:val="24"/>
          <w:lang w:val="en-GB"/>
        </w:rPr>
        <w:t xml:space="preserve"> formation of the</w:t>
      </w:r>
      <w:r w:rsidRPr="00896DCB">
        <w:rPr>
          <w:sz w:val="24"/>
          <w:szCs w:val="24"/>
          <w:lang w:val="en-GB"/>
        </w:rPr>
        <w:t xml:space="preserve"> network was initiated by Professor Graham Gibbs, an international leader in the movement to improve teaching and learning at the university level</w:t>
      </w:r>
      <w:proofErr w:type="gramEnd"/>
      <w:r w:rsidRPr="00896DCB">
        <w:rPr>
          <w:sz w:val="24"/>
          <w:szCs w:val="24"/>
          <w:lang w:val="en-GB"/>
        </w:rPr>
        <w:t xml:space="preserve">. Gibbs, </w:t>
      </w:r>
      <w:r w:rsidR="003C1712">
        <w:rPr>
          <w:sz w:val="24"/>
          <w:szCs w:val="24"/>
          <w:lang w:val="en-GB"/>
        </w:rPr>
        <w:t>r</w:t>
      </w:r>
      <w:r w:rsidR="00896DCB" w:rsidRPr="00896DCB">
        <w:rPr>
          <w:sz w:val="24"/>
          <w:szCs w:val="24"/>
          <w:lang w:val="en-GB"/>
        </w:rPr>
        <w:t>enown</w:t>
      </w:r>
      <w:r w:rsidR="002A540A">
        <w:rPr>
          <w:sz w:val="24"/>
          <w:szCs w:val="24"/>
          <w:lang w:val="en-GB"/>
        </w:rPr>
        <w:t>ed</w:t>
      </w:r>
      <w:r w:rsidR="00896DCB" w:rsidRPr="00896DCB">
        <w:rPr>
          <w:sz w:val="24"/>
          <w:szCs w:val="24"/>
          <w:lang w:val="en-GB"/>
        </w:rPr>
        <w:t xml:space="preserve"> for his publications </w:t>
      </w:r>
      <w:r w:rsidR="002A540A">
        <w:rPr>
          <w:sz w:val="24"/>
          <w:szCs w:val="24"/>
          <w:lang w:val="en-GB"/>
        </w:rPr>
        <w:t xml:space="preserve">on </w:t>
      </w:r>
      <w:r w:rsidRPr="00896DCB">
        <w:rPr>
          <w:sz w:val="24"/>
          <w:szCs w:val="24"/>
          <w:lang w:val="en-GB"/>
        </w:rPr>
        <w:t>the topics of student learning, training of university teachers, and development of teaching and learning strategies at the institutional level, was the director of what currently is the Oxford Learning Institute at Oxford U</w:t>
      </w:r>
      <w:r w:rsidR="00896DCB">
        <w:rPr>
          <w:sz w:val="24"/>
          <w:szCs w:val="24"/>
          <w:lang w:val="en-GB"/>
        </w:rPr>
        <w:t xml:space="preserve">niversity, when he conceived of </w:t>
      </w:r>
      <w:r w:rsidR="003717DC">
        <w:rPr>
          <w:sz w:val="24"/>
          <w:szCs w:val="24"/>
          <w:lang w:val="en-GB"/>
        </w:rPr>
        <w:t>NETL in 2004,</w:t>
      </w:r>
      <w:r w:rsidR="002A540A">
        <w:rPr>
          <w:sz w:val="24"/>
          <w:szCs w:val="24"/>
          <w:lang w:val="en-GB"/>
        </w:rPr>
        <w:t xml:space="preserve"> resulting in</w:t>
      </w:r>
      <w:r w:rsidRPr="00896DCB">
        <w:rPr>
          <w:sz w:val="24"/>
          <w:szCs w:val="24"/>
          <w:lang w:val="en-GB"/>
        </w:rPr>
        <w:t xml:space="preserve"> </w:t>
      </w:r>
      <w:r w:rsidR="003717DC">
        <w:rPr>
          <w:sz w:val="24"/>
          <w:szCs w:val="24"/>
          <w:lang w:val="en-GB"/>
        </w:rPr>
        <w:t xml:space="preserve">the </w:t>
      </w:r>
      <w:r w:rsidR="002A540A">
        <w:rPr>
          <w:sz w:val="24"/>
          <w:szCs w:val="24"/>
          <w:lang w:val="en-GB"/>
        </w:rPr>
        <w:t xml:space="preserve">organising of the </w:t>
      </w:r>
      <w:r w:rsidR="003717DC">
        <w:rPr>
          <w:sz w:val="24"/>
          <w:szCs w:val="24"/>
          <w:lang w:val="en-GB"/>
        </w:rPr>
        <w:t xml:space="preserve">first meeting in 2005. </w:t>
      </w:r>
      <w:r w:rsidR="0070260B">
        <w:rPr>
          <w:sz w:val="24"/>
          <w:szCs w:val="24"/>
          <w:lang w:val="en-GB"/>
        </w:rPr>
        <w:t xml:space="preserve">The network started with </w:t>
      </w:r>
      <w:r w:rsidR="0070260B" w:rsidRPr="00896DCB">
        <w:rPr>
          <w:sz w:val="24"/>
          <w:szCs w:val="24"/>
          <w:lang w:val="en-GB"/>
        </w:rPr>
        <w:t>universities from</w:t>
      </w:r>
      <w:r w:rsidR="0070260B">
        <w:rPr>
          <w:sz w:val="24"/>
          <w:szCs w:val="24"/>
          <w:lang w:val="en-GB"/>
        </w:rPr>
        <w:t xml:space="preserve"> the UK, </w:t>
      </w:r>
      <w:r w:rsidR="00196262">
        <w:rPr>
          <w:sz w:val="24"/>
          <w:szCs w:val="24"/>
          <w:lang w:val="en-GB"/>
        </w:rPr>
        <w:t xml:space="preserve">continental </w:t>
      </w:r>
      <w:r w:rsidR="0070260B">
        <w:rPr>
          <w:sz w:val="24"/>
          <w:szCs w:val="24"/>
          <w:lang w:val="en-GB"/>
        </w:rPr>
        <w:t xml:space="preserve">Europe, North America, and Australia. In the ensuing </w:t>
      </w:r>
      <w:r w:rsidR="00172B4E">
        <w:rPr>
          <w:sz w:val="24"/>
          <w:szCs w:val="24"/>
          <w:lang w:val="en-GB"/>
        </w:rPr>
        <w:t>years, the network</w:t>
      </w:r>
      <w:r w:rsidR="0070260B" w:rsidRPr="00896DCB">
        <w:rPr>
          <w:sz w:val="24"/>
          <w:szCs w:val="24"/>
          <w:lang w:val="en-GB"/>
        </w:rPr>
        <w:t xml:space="preserve"> has e</w:t>
      </w:r>
      <w:r w:rsidR="0070260B">
        <w:rPr>
          <w:sz w:val="24"/>
          <w:szCs w:val="24"/>
          <w:lang w:val="en-GB"/>
        </w:rPr>
        <w:t>xpanded to include universities from Asia, and</w:t>
      </w:r>
      <w:r w:rsidR="0070260B" w:rsidRPr="00896DCB">
        <w:rPr>
          <w:sz w:val="24"/>
          <w:szCs w:val="24"/>
          <w:lang w:val="en-GB"/>
        </w:rPr>
        <w:t xml:space="preserve"> meetings have be</w:t>
      </w:r>
      <w:r w:rsidR="0070260B">
        <w:rPr>
          <w:sz w:val="24"/>
          <w:szCs w:val="24"/>
          <w:lang w:val="en-GB"/>
        </w:rPr>
        <w:t xml:space="preserve">en held on members’ campuses on </w:t>
      </w:r>
      <w:r w:rsidR="0070260B" w:rsidRPr="00896DCB">
        <w:rPr>
          <w:sz w:val="24"/>
          <w:szCs w:val="24"/>
          <w:lang w:val="en-GB"/>
        </w:rPr>
        <w:t>four continents.</w:t>
      </w:r>
    </w:p>
    <w:p w14:paraId="027DF417" w14:textId="77777777" w:rsidR="003717DC" w:rsidRDefault="003717DC" w:rsidP="00990A99">
      <w:pPr>
        <w:spacing w:after="0" w:line="240" w:lineRule="auto"/>
        <w:rPr>
          <w:sz w:val="24"/>
          <w:szCs w:val="24"/>
          <w:lang w:val="en-GB"/>
        </w:rPr>
      </w:pPr>
    </w:p>
    <w:p w14:paraId="3509D239" w14:textId="77777777" w:rsidR="003717DC" w:rsidRDefault="003717DC" w:rsidP="00990A99">
      <w:pPr>
        <w:spacing w:after="0" w:line="240" w:lineRule="auto"/>
        <w:rPr>
          <w:sz w:val="24"/>
          <w:szCs w:val="24"/>
          <w:lang w:val="en-GB"/>
        </w:rPr>
      </w:pPr>
      <w:r>
        <w:rPr>
          <w:b/>
          <w:color w:val="0070C0"/>
          <w:sz w:val="24"/>
          <w:szCs w:val="24"/>
          <w:lang w:val="en-GB"/>
        </w:rPr>
        <w:t>List of participating universities</w:t>
      </w:r>
      <w:r w:rsidR="003C1712">
        <w:rPr>
          <w:b/>
          <w:color w:val="0070C0"/>
          <w:sz w:val="24"/>
          <w:szCs w:val="24"/>
          <w:lang w:val="en-GB"/>
        </w:rPr>
        <w:t xml:space="preserve">, </w:t>
      </w:r>
      <w:proofErr w:type="spellStart"/>
      <w:r w:rsidR="003C1712">
        <w:rPr>
          <w:b/>
          <w:color w:val="0070C0"/>
          <w:sz w:val="24"/>
          <w:szCs w:val="24"/>
          <w:lang w:val="en-GB"/>
        </w:rPr>
        <w:t>dd</w:t>
      </w:r>
      <w:proofErr w:type="spellEnd"/>
      <w:r w:rsidR="003C1712">
        <w:rPr>
          <w:b/>
          <w:color w:val="0070C0"/>
          <w:sz w:val="24"/>
          <w:szCs w:val="24"/>
          <w:lang w:val="en-GB"/>
        </w:rPr>
        <w:t xml:space="preserve"> June 2017</w:t>
      </w:r>
      <w:r>
        <w:rPr>
          <w:b/>
          <w:color w:val="0070C0"/>
          <w:sz w:val="24"/>
          <w:szCs w:val="24"/>
          <w:lang w:val="en-GB"/>
        </w:rPr>
        <w:t xml:space="preserve"> </w:t>
      </w:r>
      <w:r>
        <w:rPr>
          <w:sz w:val="24"/>
          <w:szCs w:val="24"/>
          <w:lang w:val="en-GB"/>
        </w:rPr>
        <w:t xml:space="preserve"> </w:t>
      </w:r>
    </w:p>
    <w:p w14:paraId="54D2B391" w14:textId="77777777" w:rsidR="003717DC" w:rsidRDefault="003717DC" w:rsidP="00990A99">
      <w:pPr>
        <w:spacing w:after="0" w:line="240" w:lineRule="auto"/>
        <w:rPr>
          <w:sz w:val="20"/>
          <w:szCs w:val="20"/>
          <w:lang w:val="en-GB"/>
        </w:rPr>
      </w:pPr>
      <w:r w:rsidRPr="00F0141D">
        <w:rPr>
          <w:sz w:val="20"/>
          <w:szCs w:val="20"/>
          <w:lang w:val="en-GB"/>
        </w:rPr>
        <w:t>(</w:t>
      </w:r>
      <w:proofErr w:type="gramStart"/>
      <w:r w:rsidRPr="00F0141D">
        <w:rPr>
          <w:sz w:val="20"/>
          <w:szCs w:val="20"/>
          <w:lang w:val="en-GB"/>
        </w:rPr>
        <w:t>between</w:t>
      </w:r>
      <w:proofErr w:type="gramEnd"/>
      <w:r w:rsidRPr="00F0141D">
        <w:rPr>
          <w:sz w:val="20"/>
          <w:szCs w:val="20"/>
          <w:lang w:val="en-GB"/>
        </w:rPr>
        <w:t xml:space="preserve"> brackets year(s) the institute acted as coordinator and organised the annual meeting)</w:t>
      </w:r>
    </w:p>
    <w:p w14:paraId="507123C4" w14:textId="77777777" w:rsidR="003717DC" w:rsidRDefault="003717DC" w:rsidP="00990A99">
      <w:pPr>
        <w:spacing w:after="0" w:line="240" w:lineRule="auto"/>
        <w:rPr>
          <w:sz w:val="24"/>
          <w:szCs w:val="24"/>
          <w:lang w:val="en-GB"/>
        </w:rPr>
      </w:pPr>
      <w:r>
        <w:rPr>
          <w:sz w:val="24"/>
          <w:szCs w:val="24"/>
          <w:lang w:val="en-GB"/>
        </w:rPr>
        <w:t>University of Oxford, United Kingdom (2005,</w:t>
      </w:r>
      <w:r w:rsidR="000F407F">
        <w:rPr>
          <w:sz w:val="24"/>
          <w:szCs w:val="24"/>
          <w:lang w:val="en-GB"/>
        </w:rPr>
        <w:t xml:space="preserve"> </w:t>
      </w:r>
      <w:r>
        <w:rPr>
          <w:sz w:val="24"/>
          <w:szCs w:val="24"/>
          <w:lang w:val="en-GB"/>
        </w:rPr>
        <w:t>2007)</w:t>
      </w:r>
    </w:p>
    <w:p w14:paraId="1F75FE5B" w14:textId="77777777" w:rsidR="003717DC" w:rsidRDefault="003717DC" w:rsidP="00990A99">
      <w:pPr>
        <w:spacing w:after="0" w:line="240" w:lineRule="auto"/>
        <w:rPr>
          <w:sz w:val="24"/>
          <w:szCs w:val="24"/>
          <w:lang w:val="en-GB"/>
        </w:rPr>
      </w:pPr>
      <w:r>
        <w:rPr>
          <w:sz w:val="24"/>
          <w:szCs w:val="24"/>
          <w:lang w:val="en-GB"/>
        </w:rPr>
        <w:t>Utrecht University, the Netherlands (2006</w:t>
      </w:r>
      <w:r w:rsidR="000F407F">
        <w:rPr>
          <w:sz w:val="24"/>
          <w:szCs w:val="24"/>
          <w:lang w:val="en-GB"/>
        </w:rPr>
        <w:t>, 2017</w:t>
      </w:r>
      <w:r>
        <w:rPr>
          <w:sz w:val="24"/>
          <w:szCs w:val="24"/>
          <w:lang w:val="en-GB"/>
        </w:rPr>
        <w:t>)</w:t>
      </w:r>
    </w:p>
    <w:p w14:paraId="0CABAEF8" w14:textId="4FBCBCDE" w:rsidR="000F407F" w:rsidRPr="000F407F" w:rsidRDefault="000F407F" w:rsidP="000F407F">
      <w:pPr>
        <w:spacing w:after="0" w:line="240" w:lineRule="auto"/>
        <w:rPr>
          <w:sz w:val="24"/>
          <w:szCs w:val="24"/>
        </w:rPr>
      </w:pPr>
      <w:r w:rsidRPr="000F407F">
        <w:rPr>
          <w:sz w:val="24"/>
          <w:szCs w:val="24"/>
        </w:rPr>
        <w:t>University of Helsinki, Finland (2008, 2018)</w:t>
      </w:r>
    </w:p>
    <w:p w14:paraId="316425A1" w14:textId="77777777" w:rsidR="000F407F" w:rsidRPr="000F407F" w:rsidRDefault="000F407F" w:rsidP="000F407F">
      <w:pPr>
        <w:spacing w:after="0" w:line="240" w:lineRule="auto"/>
        <w:rPr>
          <w:sz w:val="24"/>
          <w:szCs w:val="24"/>
        </w:rPr>
      </w:pPr>
      <w:r w:rsidRPr="000F407F">
        <w:rPr>
          <w:sz w:val="24"/>
          <w:szCs w:val="24"/>
        </w:rPr>
        <w:t>MIT, Cambridge, MA, USA (2009)</w:t>
      </w:r>
    </w:p>
    <w:p w14:paraId="6A045A8B" w14:textId="77777777" w:rsidR="000F407F" w:rsidRDefault="000F407F" w:rsidP="000F407F">
      <w:pPr>
        <w:spacing w:after="0" w:line="240" w:lineRule="auto"/>
        <w:rPr>
          <w:sz w:val="24"/>
          <w:szCs w:val="24"/>
          <w:lang w:val="en-GB"/>
        </w:rPr>
      </w:pPr>
      <w:r>
        <w:rPr>
          <w:sz w:val="24"/>
          <w:szCs w:val="24"/>
          <w:lang w:val="en-GB"/>
        </w:rPr>
        <w:t xml:space="preserve">University of Sydney, Australia (2010) </w:t>
      </w:r>
    </w:p>
    <w:p w14:paraId="44126428" w14:textId="77777777" w:rsidR="000F407F" w:rsidRDefault="000F407F" w:rsidP="000F407F">
      <w:pPr>
        <w:spacing w:after="0" w:line="240" w:lineRule="auto"/>
        <w:rPr>
          <w:sz w:val="24"/>
          <w:szCs w:val="24"/>
          <w:lang w:val="en-GB"/>
        </w:rPr>
      </w:pPr>
      <w:r w:rsidRPr="003717DC">
        <w:rPr>
          <w:sz w:val="24"/>
          <w:szCs w:val="24"/>
          <w:lang w:val="en-GB"/>
        </w:rPr>
        <w:t>University of Oslo, Norway</w:t>
      </w:r>
      <w:r>
        <w:rPr>
          <w:sz w:val="24"/>
          <w:szCs w:val="24"/>
          <w:lang w:val="en-GB"/>
        </w:rPr>
        <w:t xml:space="preserve"> (2011)</w:t>
      </w:r>
    </w:p>
    <w:p w14:paraId="10992E52" w14:textId="77777777" w:rsidR="000F407F" w:rsidRPr="00F0141D" w:rsidRDefault="000F407F" w:rsidP="000F407F">
      <w:pPr>
        <w:spacing w:after="0" w:line="240" w:lineRule="auto"/>
        <w:rPr>
          <w:sz w:val="24"/>
          <w:szCs w:val="24"/>
          <w:lang w:val="en-GB"/>
        </w:rPr>
      </w:pPr>
      <w:r w:rsidRPr="00F0141D">
        <w:rPr>
          <w:sz w:val="24"/>
          <w:szCs w:val="24"/>
          <w:lang w:val="en-GB"/>
        </w:rPr>
        <w:t>KU Leuven, Belgium</w:t>
      </w:r>
      <w:r>
        <w:rPr>
          <w:sz w:val="24"/>
          <w:szCs w:val="24"/>
          <w:lang w:val="en-GB"/>
        </w:rPr>
        <w:t xml:space="preserve"> (2012)</w:t>
      </w:r>
    </w:p>
    <w:p w14:paraId="5F92C6D2" w14:textId="77777777" w:rsidR="003717DC" w:rsidRDefault="00C27C33" w:rsidP="00990A99">
      <w:pPr>
        <w:spacing w:after="0" w:line="240" w:lineRule="auto"/>
        <w:rPr>
          <w:sz w:val="24"/>
          <w:szCs w:val="24"/>
          <w:lang w:val="en-GB"/>
        </w:rPr>
      </w:pPr>
      <w:r>
        <w:rPr>
          <w:sz w:val="24"/>
          <w:szCs w:val="24"/>
          <w:lang w:val="en-GB"/>
        </w:rPr>
        <w:t xml:space="preserve">University of </w:t>
      </w:r>
      <w:r w:rsidR="003717DC">
        <w:rPr>
          <w:sz w:val="24"/>
          <w:szCs w:val="24"/>
          <w:lang w:val="en-GB"/>
        </w:rPr>
        <w:t>Edinburgh</w:t>
      </w:r>
      <w:r>
        <w:rPr>
          <w:sz w:val="24"/>
          <w:szCs w:val="24"/>
          <w:lang w:val="en-GB"/>
        </w:rPr>
        <w:t>, Scotland</w:t>
      </w:r>
      <w:r w:rsidR="003717DC">
        <w:rPr>
          <w:sz w:val="24"/>
          <w:szCs w:val="24"/>
          <w:lang w:val="en-GB"/>
        </w:rPr>
        <w:t xml:space="preserve"> (2013)</w:t>
      </w:r>
    </w:p>
    <w:p w14:paraId="1CE247A0" w14:textId="77777777" w:rsidR="000F407F" w:rsidRDefault="000F407F" w:rsidP="000F407F">
      <w:pPr>
        <w:spacing w:after="0" w:line="240" w:lineRule="auto"/>
        <w:rPr>
          <w:sz w:val="24"/>
          <w:szCs w:val="24"/>
          <w:lang w:val="en-GB"/>
        </w:rPr>
      </w:pPr>
      <w:r w:rsidRPr="00C27C33">
        <w:rPr>
          <w:sz w:val="24"/>
          <w:szCs w:val="24"/>
          <w:lang w:val="en-GB"/>
        </w:rPr>
        <w:t>National University of</w:t>
      </w:r>
      <w:r>
        <w:rPr>
          <w:sz w:val="24"/>
          <w:szCs w:val="24"/>
          <w:lang w:val="en-GB"/>
        </w:rPr>
        <w:t xml:space="preserve"> </w:t>
      </w:r>
      <w:r w:rsidRPr="00C27C33">
        <w:rPr>
          <w:sz w:val="24"/>
          <w:szCs w:val="24"/>
          <w:lang w:val="en-GB"/>
        </w:rPr>
        <w:t>Singapore</w:t>
      </w:r>
      <w:r>
        <w:rPr>
          <w:sz w:val="24"/>
          <w:szCs w:val="24"/>
          <w:lang w:val="en-GB"/>
        </w:rPr>
        <w:t>, Singapore (2014)</w:t>
      </w:r>
    </w:p>
    <w:p w14:paraId="2FE276BB" w14:textId="1B1E56AE" w:rsidR="00F0141D" w:rsidRDefault="00F0141D" w:rsidP="00F0141D">
      <w:pPr>
        <w:spacing w:after="0" w:line="240" w:lineRule="auto"/>
        <w:rPr>
          <w:sz w:val="24"/>
          <w:szCs w:val="24"/>
          <w:lang w:val="en-GB"/>
        </w:rPr>
      </w:pPr>
      <w:r w:rsidRPr="00F0141D">
        <w:rPr>
          <w:sz w:val="24"/>
          <w:szCs w:val="24"/>
          <w:lang w:val="en-GB"/>
        </w:rPr>
        <w:t>University of Copenhagen, Denmark</w:t>
      </w:r>
      <w:r w:rsidR="000F407F">
        <w:rPr>
          <w:sz w:val="24"/>
          <w:szCs w:val="24"/>
          <w:lang w:val="en-GB"/>
        </w:rPr>
        <w:t xml:space="preserve"> (</w:t>
      </w:r>
      <w:r w:rsidR="00EA523D">
        <w:rPr>
          <w:sz w:val="24"/>
          <w:szCs w:val="24"/>
          <w:lang w:val="en-GB"/>
        </w:rPr>
        <w:t xml:space="preserve">together with Lund in </w:t>
      </w:r>
      <w:r w:rsidR="000F407F">
        <w:rPr>
          <w:sz w:val="24"/>
          <w:szCs w:val="24"/>
          <w:lang w:val="en-GB"/>
        </w:rPr>
        <w:t>2015)</w:t>
      </w:r>
    </w:p>
    <w:p w14:paraId="1DF1A0DA" w14:textId="77777777" w:rsidR="00C27C33" w:rsidRDefault="00F0141D" w:rsidP="00C27C33">
      <w:pPr>
        <w:spacing w:after="0" w:line="240" w:lineRule="auto"/>
        <w:rPr>
          <w:sz w:val="24"/>
          <w:szCs w:val="24"/>
          <w:lang w:val="en-GB"/>
        </w:rPr>
      </w:pPr>
      <w:r w:rsidRPr="00F0141D">
        <w:rPr>
          <w:sz w:val="24"/>
          <w:szCs w:val="24"/>
          <w:lang w:val="en-GB"/>
        </w:rPr>
        <w:t>Lund University</w:t>
      </w:r>
      <w:r>
        <w:rPr>
          <w:sz w:val="24"/>
          <w:szCs w:val="24"/>
          <w:lang w:val="en-GB"/>
        </w:rPr>
        <w:t>, Sweden</w:t>
      </w:r>
      <w:r w:rsidR="000F407F">
        <w:rPr>
          <w:sz w:val="24"/>
          <w:szCs w:val="24"/>
          <w:lang w:val="en-GB"/>
        </w:rPr>
        <w:t xml:space="preserve"> (</w:t>
      </w:r>
      <w:r w:rsidR="000A639C">
        <w:rPr>
          <w:sz w:val="24"/>
          <w:szCs w:val="24"/>
          <w:lang w:val="en-GB"/>
        </w:rPr>
        <w:t xml:space="preserve">together with Copenhagen in </w:t>
      </w:r>
      <w:r w:rsidR="000F407F">
        <w:rPr>
          <w:sz w:val="24"/>
          <w:szCs w:val="24"/>
          <w:lang w:val="en-GB"/>
        </w:rPr>
        <w:t>2015)</w:t>
      </w:r>
    </w:p>
    <w:p w14:paraId="59B49885" w14:textId="77777777" w:rsidR="000F407F" w:rsidRDefault="000F407F" w:rsidP="000F407F">
      <w:pPr>
        <w:spacing w:after="0" w:line="240" w:lineRule="auto"/>
        <w:rPr>
          <w:sz w:val="24"/>
          <w:szCs w:val="24"/>
          <w:lang w:val="en-GB"/>
        </w:rPr>
      </w:pPr>
      <w:r>
        <w:rPr>
          <w:sz w:val="24"/>
          <w:szCs w:val="24"/>
          <w:lang w:val="en-GB"/>
        </w:rPr>
        <w:t xml:space="preserve">The </w:t>
      </w:r>
      <w:r w:rsidRPr="003717DC">
        <w:rPr>
          <w:sz w:val="24"/>
          <w:szCs w:val="24"/>
          <w:lang w:val="en-GB"/>
        </w:rPr>
        <w:t>University of Hong Kong</w:t>
      </w:r>
      <w:r>
        <w:rPr>
          <w:sz w:val="24"/>
          <w:szCs w:val="24"/>
          <w:lang w:val="en-GB"/>
        </w:rPr>
        <w:t>, Hong Kong (2016)</w:t>
      </w:r>
    </w:p>
    <w:p w14:paraId="004C118B" w14:textId="77777777" w:rsidR="0090604E" w:rsidRDefault="0090604E" w:rsidP="00C27C33">
      <w:pPr>
        <w:spacing w:after="0" w:line="240" w:lineRule="auto"/>
        <w:rPr>
          <w:sz w:val="24"/>
          <w:szCs w:val="24"/>
          <w:lang w:val="en-GB"/>
        </w:rPr>
      </w:pPr>
      <w:r>
        <w:rPr>
          <w:sz w:val="24"/>
          <w:szCs w:val="24"/>
          <w:lang w:val="en-GB"/>
        </w:rPr>
        <w:lastRenderedPageBreak/>
        <w:t xml:space="preserve">Cape Town University, South </w:t>
      </w:r>
      <w:proofErr w:type="spellStart"/>
      <w:r>
        <w:rPr>
          <w:sz w:val="24"/>
          <w:szCs w:val="24"/>
          <w:lang w:val="en-GB"/>
        </w:rPr>
        <w:t>Afrika</w:t>
      </w:r>
      <w:proofErr w:type="spellEnd"/>
    </w:p>
    <w:sectPr w:rsidR="00906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A520" w14:textId="77777777" w:rsidR="00223EDB" w:rsidRDefault="00223EDB" w:rsidP="00A53BF4">
      <w:pPr>
        <w:spacing w:after="0" w:line="240" w:lineRule="auto"/>
      </w:pPr>
      <w:r>
        <w:separator/>
      </w:r>
    </w:p>
  </w:endnote>
  <w:endnote w:type="continuationSeparator" w:id="0">
    <w:p w14:paraId="58E61B6C" w14:textId="77777777" w:rsidR="00223EDB" w:rsidRDefault="00223EDB" w:rsidP="00A5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3A358" w14:textId="77777777" w:rsidR="00223EDB" w:rsidRDefault="00223EDB" w:rsidP="00A53BF4">
      <w:pPr>
        <w:spacing w:after="0" w:line="240" w:lineRule="auto"/>
      </w:pPr>
      <w:r>
        <w:separator/>
      </w:r>
    </w:p>
  </w:footnote>
  <w:footnote w:type="continuationSeparator" w:id="0">
    <w:p w14:paraId="6DBD8CFC" w14:textId="77777777" w:rsidR="00223EDB" w:rsidRDefault="00223EDB" w:rsidP="00A53BF4">
      <w:pPr>
        <w:spacing w:after="0" w:line="240" w:lineRule="auto"/>
      </w:pPr>
      <w:r>
        <w:continuationSeparator/>
      </w:r>
    </w:p>
  </w:footnote>
  <w:footnote w:id="1">
    <w:p w14:paraId="20E916DF" w14:textId="77777777" w:rsidR="00A53BF4" w:rsidRPr="00A53BF4" w:rsidRDefault="00A53BF4">
      <w:pPr>
        <w:pStyle w:val="FootnoteText"/>
      </w:pPr>
      <w:r>
        <w:rPr>
          <w:rStyle w:val="FootnoteReference"/>
        </w:rPr>
        <w:footnoteRef/>
      </w:r>
      <w:r>
        <w:t xml:space="preserve"> </w:t>
      </w:r>
      <w:proofErr w:type="gramStart"/>
      <w:r w:rsidRPr="00896DCB">
        <w:rPr>
          <w:lang w:val="en-GB"/>
        </w:rPr>
        <w:t>Foreword of ‘Strengthening teaching and learning i</w:t>
      </w:r>
      <w:r>
        <w:rPr>
          <w:lang w:val="en-GB"/>
        </w:rPr>
        <w:t>n</w:t>
      </w:r>
      <w:r w:rsidRPr="00896DCB">
        <w:rPr>
          <w:lang w:val="en-GB"/>
        </w:rPr>
        <w:t xml:space="preserve"> research universities.</w:t>
      </w:r>
      <w:proofErr w:type="gramEnd"/>
      <w:r w:rsidRPr="00896DCB">
        <w:rPr>
          <w:lang w:val="en-GB"/>
        </w:rPr>
        <w:t xml:space="preserve"> </w:t>
      </w:r>
      <w:proofErr w:type="gramStart"/>
      <w:r w:rsidRPr="00896DCB">
        <w:rPr>
          <w:lang w:val="en-GB"/>
        </w:rPr>
        <w:t>Strategies and Initiatives for Institutional Change</w:t>
      </w:r>
      <w:r>
        <w:rPr>
          <w:lang w:val="en-GB"/>
        </w:rPr>
        <w:t>’</w:t>
      </w:r>
      <w:r w:rsidRPr="00896DCB">
        <w:rPr>
          <w:lang w:val="en-GB"/>
        </w:rPr>
        <w:t>.</w:t>
      </w:r>
      <w:proofErr w:type="gramEnd"/>
      <w:r w:rsidRPr="00896DCB">
        <w:rPr>
          <w:lang w:val="en-GB"/>
        </w:rPr>
        <w:t xml:space="preserve"> Edit</w:t>
      </w:r>
      <w:r>
        <w:rPr>
          <w:lang w:val="en-GB"/>
        </w:rPr>
        <w:t>ed by</w:t>
      </w:r>
      <w:r w:rsidRPr="00896DCB">
        <w:rPr>
          <w:lang w:val="en-GB"/>
        </w:rPr>
        <w:t xml:space="preserve"> B </w:t>
      </w:r>
      <w:proofErr w:type="spellStart"/>
      <w:r w:rsidRPr="00896DCB">
        <w:rPr>
          <w:lang w:val="en-GB"/>
        </w:rPr>
        <w:t>Stensaker</w:t>
      </w:r>
      <w:proofErr w:type="spellEnd"/>
      <w:r w:rsidRPr="00896DCB">
        <w:rPr>
          <w:lang w:val="en-GB"/>
        </w:rPr>
        <w:t xml:space="preserve">, GT </w:t>
      </w:r>
      <w:proofErr w:type="spellStart"/>
      <w:r w:rsidRPr="00896DCB">
        <w:rPr>
          <w:lang w:val="en-GB"/>
        </w:rPr>
        <w:t>Bilbow</w:t>
      </w:r>
      <w:proofErr w:type="spellEnd"/>
      <w:r w:rsidRPr="00896DCB">
        <w:rPr>
          <w:lang w:val="en-GB"/>
        </w:rPr>
        <w:t xml:space="preserve">, L </w:t>
      </w:r>
      <w:proofErr w:type="spellStart"/>
      <w:r w:rsidRPr="00896DCB">
        <w:rPr>
          <w:lang w:val="en-GB"/>
        </w:rPr>
        <w:t>Breslow</w:t>
      </w:r>
      <w:proofErr w:type="spellEnd"/>
      <w:r w:rsidRPr="00896DCB">
        <w:rPr>
          <w:lang w:val="en-GB"/>
        </w:rPr>
        <w:t xml:space="preserve">, </w:t>
      </w:r>
      <w:proofErr w:type="gramStart"/>
      <w:r w:rsidRPr="00896DCB">
        <w:rPr>
          <w:lang w:val="en-GB"/>
        </w:rPr>
        <w:t xml:space="preserve">R van der </w:t>
      </w:r>
      <w:proofErr w:type="spellStart"/>
      <w:r w:rsidRPr="00896DCB">
        <w:rPr>
          <w:lang w:val="en-GB"/>
        </w:rPr>
        <w:t>Vaart</w:t>
      </w:r>
      <w:proofErr w:type="spellEnd"/>
      <w:proofErr w:type="gramEnd"/>
      <w:r>
        <w:rPr>
          <w:lang w:val="en-GB"/>
        </w:rPr>
        <w:t xml:space="preserve"> (2017). </w:t>
      </w:r>
      <w:proofErr w:type="gramStart"/>
      <w:r>
        <w:rPr>
          <w:lang w:val="en-GB"/>
        </w:rPr>
        <w:t>Cham, Palgrave Macmillan.</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F97"/>
    <w:multiLevelType w:val="hybridMultilevel"/>
    <w:tmpl w:val="19A2A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E1523"/>
    <w:multiLevelType w:val="hybridMultilevel"/>
    <w:tmpl w:val="F6C6CE5C"/>
    <w:lvl w:ilvl="0" w:tplc="27C61F6C">
      <w:start w:val="5"/>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8719CB"/>
    <w:multiLevelType w:val="hybridMultilevel"/>
    <w:tmpl w:val="BDD4F4F0"/>
    <w:lvl w:ilvl="0" w:tplc="56D48D14">
      <w:start w:val="9"/>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954EF3"/>
    <w:multiLevelType w:val="hybridMultilevel"/>
    <w:tmpl w:val="0D0491FE"/>
    <w:lvl w:ilvl="0" w:tplc="FE243F76">
      <w:start w:val="9"/>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0C"/>
    <w:rsid w:val="00002235"/>
    <w:rsid w:val="00004992"/>
    <w:rsid w:val="00065663"/>
    <w:rsid w:val="0007436E"/>
    <w:rsid w:val="00086A49"/>
    <w:rsid w:val="0009139E"/>
    <w:rsid w:val="00096301"/>
    <w:rsid w:val="000A4C11"/>
    <w:rsid w:val="000A639C"/>
    <w:rsid w:val="000B5728"/>
    <w:rsid w:val="000C7445"/>
    <w:rsid w:val="000D67B4"/>
    <w:rsid w:val="000D6E68"/>
    <w:rsid w:val="000F407F"/>
    <w:rsid w:val="00110474"/>
    <w:rsid w:val="001150EA"/>
    <w:rsid w:val="00136895"/>
    <w:rsid w:val="00151961"/>
    <w:rsid w:val="00172B4E"/>
    <w:rsid w:val="00181CD5"/>
    <w:rsid w:val="0019224F"/>
    <w:rsid w:val="00193001"/>
    <w:rsid w:val="00196262"/>
    <w:rsid w:val="001C2D8A"/>
    <w:rsid w:val="001E76AD"/>
    <w:rsid w:val="00223EDB"/>
    <w:rsid w:val="00243307"/>
    <w:rsid w:val="00261884"/>
    <w:rsid w:val="00264761"/>
    <w:rsid w:val="00265EBD"/>
    <w:rsid w:val="002733C4"/>
    <w:rsid w:val="002A540A"/>
    <w:rsid w:val="002D172B"/>
    <w:rsid w:val="002D69ED"/>
    <w:rsid w:val="002E4A8A"/>
    <w:rsid w:val="002F210A"/>
    <w:rsid w:val="002F6684"/>
    <w:rsid w:val="003022B5"/>
    <w:rsid w:val="00314A1E"/>
    <w:rsid w:val="00324C35"/>
    <w:rsid w:val="00324CDF"/>
    <w:rsid w:val="00326138"/>
    <w:rsid w:val="003270AB"/>
    <w:rsid w:val="00335383"/>
    <w:rsid w:val="003361C3"/>
    <w:rsid w:val="00353FFC"/>
    <w:rsid w:val="00363692"/>
    <w:rsid w:val="003717DC"/>
    <w:rsid w:val="0038491E"/>
    <w:rsid w:val="003904CF"/>
    <w:rsid w:val="0039788C"/>
    <w:rsid w:val="003C1712"/>
    <w:rsid w:val="003C2500"/>
    <w:rsid w:val="003D1A07"/>
    <w:rsid w:val="003D5A3B"/>
    <w:rsid w:val="003F28A2"/>
    <w:rsid w:val="00401E46"/>
    <w:rsid w:val="00406988"/>
    <w:rsid w:val="004201C6"/>
    <w:rsid w:val="00427E59"/>
    <w:rsid w:val="00430ADF"/>
    <w:rsid w:val="004337CE"/>
    <w:rsid w:val="0043578F"/>
    <w:rsid w:val="00441244"/>
    <w:rsid w:val="004414C0"/>
    <w:rsid w:val="004475A5"/>
    <w:rsid w:val="0045589B"/>
    <w:rsid w:val="00480DA7"/>
    <w:rsid w:val="00482EB8"/>
    <w:rsid w:val="0048587D"/>
    <w:rsid w:val="00491539"/>
    <w:rsid w:val="004B2798"/>
    <w:rsid w:val="004D7359"/>
    <w:rsid w:val="004E6A57"/>
    <w:rsid w:val="004F5FA4"/>
    <w:rsid w:val="00501B7D"/>
    <w:rsid w:val="00530CCA"/>
    <w:rsid w:val="005362B7"/>
    <w:rsid w:val="00554421"/>
    <w:rsid w:val="00563CE4"/>
    <w:rsid w:val="00567DDA"/>
    <w:rsid w:val="00570A4F"/>
    <w:rsid w:val="0057399F"/>
    <w:rsid w:val="00590D5A"/>
    <w:rsid w:val="005A16F4"/>
    <w:rsid w:val="005A4607"/>
    <w:rsid w:val="005C3872"/>
    <w:rsid w:val="005C5B95"/>
    <w:rsid w:val="005F2E9D"/>
    <w:rsid w:val="005F60FB"/>
    <w:rsid w:val="006462FC"/>
    <w:rsid w:val="00656EA1"/>
    <w:rsid w:val="00680461"/>
    <w:rsid w:val="00681C43"/>
    <w:rsid w:val="006912D5"/>
    <w:rsid w:val="006B3CBC"/>
    <w:rsid w:val="006C0ED3"/>
    <w:rsid w:val="006C1DE0"/>
    <w:rsid w:val="006E3100"/>
    <w:rsid w:val="006E3EE3"/>
    <w:rsid w:val="0070170C"/>
    <w:rsid w:val="0070260B"/>
    <w:rsid w:val="00703FA7"/>
    <w:rsid w:val="00710929"/>
    <w:rsid w:val="0072000B"/>
    <w:rsid w:val="00744AB5"/>
    <w:rsid w:val="00745856"/>
    <w:rsid w:val="00746A74"/>
    <w:rsid w:val="00747A99"/>
    <w:rsid w:val="00751CAE"/>
    <w:rsid w:val="007767AA"/>
    <w:rsid w:val="007845AA"/>
    <w:rsid w:val="007846F1"/>
    <w:rsid w:val="007876C7"/>
    <w:rsid w:val="00793C04"/>
    <w:rsid w:val="007A58AA"/>
    <w:rsid w:val="007D7111"/>
    <w:rsid w:val="007E5135"/>
    <w:rsid w:val="007F2669"/>
    <w:rsid w:val="0082012C"/>
    <w:rsid w:val="0082287C"/>
    <w:rsid w:val="00833767"/>
    <w:rsid w:val="00835732"/>
    <w:rsid w:val="0084570C"/>
    <w:rsid w:val="00852A8E"/>
    <w:rsid w:val="00896DCB"/>
    <w:rsid w:val="008A1764"/>
    <w:rsid w:val="008A18D7"/>
    <w:rsid w:val="008D461E"/>
    <w:rsid w:val="008E146F"/>
    <w:rsid w:val="008E41C0"/>
    <w:rsid w:val="008F12FA"/>
    <w:rsid w:val="008F48B3"/>
    <w:rsid w:val="00900532"/>
    <w:rsid w:val="009024E8"/>
    <w:rsid w:val="0090604E"/>
    <w:rsid w:val="00926E20"/>
    <w:rsid w:val="009411B5"/>
    <w:rsid w:val="009630EF"/>
    <w:rsid w:val="00964DA2"/>
    <w:rsid w:val="009763E4"/>
    <w:rsid w:val="00983ACF"/>
    <w:rsid w:val="00990A99"/>
    <w:rsid w:val="009A244F"/>
    <w:rsid w:val="009B2B1A"/>
    <w:rsid w:val="009B4F01"/>
    <w:rsid w:val="009C7362"/>
    <w:rsid w:val="009D0F6B"/>
    <w:rsid w:val="009F21CC"/>
    <w:rsid w:val="009F681E"/>
    <w:rsid w:val="00A124A6"/>
    <w:rsid w:val="00A127E4"/>
    <w:rsid w:val="00A52FD5"/>
    <w:rsid w:val="00A53BF4"/>
    <w:rsid w:val="00A638F6"/>
    <w:rsid w:val="00A83905"/>
    <w:rsid w:val="00A9260A"/>
    <w:rsid w:val="00A93DAD"/>
    <w:rsid w:val="00A93DF2"/>
    <w:rsid w:val="00A9748A"/>
    <w:rsid w:val="00AA19F5"/>
    <w:rsid w:val="00AA46B1"/>
    <w:rsid w:val="00AA6245"/>
    <w:rsid w:val="00AB4D7C"/>
    <w:rsid w:val="00B03CA4"/>
    <w:rsid w:val="00B04BD7"/>
    <w:rsid w:val="00B05432"/>
    <w:rsid w:val="00B06531"/>
    <w:rsid w:val="00B30DE0"/>
    <w:rsid w:val="00B40792"/>
    <w:rsid w:val="00B42E19"/>
    <w:rsid w:val="00B6083B"/>
    <w:rsid w:val="00B664C6"/>
    <w:rsid w:val="00BD0DE3"/>
    <w:rsid w:val="00BD56AC"/>
    <w:rsid w:val="00BE1BF6"/>
    <w:rsid w:val="00BE6B8E"/>
    <w:rsid w:val="00BF2693"/>
    <w:rsid w:val="00BF3DD1"/>
    <w:rsid w:val="00C007FE"/>
    <w:rsid w:val="00C0513A"/>
    <w:rsid w:val="00C1136F"/>
    <w:rsid w:val="00C2711B"/>
    <w:rsid w:val="00C27C33"/>
    <w:rsid w:val="00C40BF2"/>
    <w:rsid w:val="00C448F8"/>
    <w:rsid w:val="00C6158F"/>
    <w:rsid w:val="00C8696C"/>
    <w:rsid w:val="00C94F0C"/>
    <w:rsid w:val="00CD2632"/>
    <w:rsid w:val="00CF5365"/>
    <w:rsid w:val="00CF7FBC"/>
    <w:rsid w:val="00D301A4"/>
    <w:rsid w:val="00D3596B"/>
    <w:rsid w:val="00D36735"/>
    <w:rsid w:val="00D57036"/>
    <w:rsid w:val="00D77DD8"/>
    <w:rsid w:val="00DC567D"/>
    <w:rsid w:val="00DD52B3"/>
    <w:rsid w:val="00DE2602"/>
    <w:rsid w:val="00E012E9"/>
    <w:rsid w:val="00E0618F"/>
    <w:rsid w:val="00E26499"/>
    <w:rsid w:val="00E4237D"/>
    <w:rsid w:val="00E43C05"/>
    <w:rsid w:val="00E46A16"/>
    <w:rsid w:val="00E53F0E"/>
    <w:rsid w:val="00E54F64"/>
    <w:rsid w:val="00E67CD2"/>
    <w:rsid w:val="00E72F33"/>
    <w:rsid w:val="00E77E94"/>
    <w:rsid w:val="00E85FD5"/>
    <w:rsid w:val="00E9685E"/>
    <w:rsid w:val="00EA523D"/>
    <w:rsid w:val="00EB29D6"/>
    <w:rsid w:val="00EC57E2"/>
    <w:rsid w:val="00EE2606"/>
    <w:rsid w:val="00F0141D"/>
    <w:rsid w:val="00F039C2"/>
    <w:rsid w:val="00F05919"/>
    <w:rsid w:val="00F4360B"/>
    <w:rsid w:val="00F455F6"/>
    <w:rsid w:val="00F4656F"/>
    <w:rsid w:val="00F51966"/>
    <w:rsid w:val="00F76684"/>
    <w:rsid w:val="00F8300E"/>
    <w:rsid w:val="00F856D7"/>
    <w:rsid w:val="00F969F3"/>
    <w:rsid w:val="00FA4BED"/>
    <w:rsid w:val="00FA55BA"/>
    <w:rsid w:val="00FC4A5A"/>
    <w:rsid w:val="00FD498B"/>
    <w:rsid w:val="00FE0BAF"/>
    <w:rsid w:val="00FE12F3"/>
    <w:rsid w:val="00FF0A70"/>
    <w:rsid w:val="00FF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4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DC"/>
    <w:pPr>
      <w:ind w:left="720"/>
      <w:contextualSpacing/>
    </w:pPr>
  </w:style>
  <w:style w:type="character" w:styleId="CommentReference">
    <w:name w:val="annotation reference"/>
    <w:basedOn w:val="DefaultParagraphFont"/>
    <w:uiPriority w:val="99"/>
    <w:semiHidden/>
    <w:unhideWhenUsed/>
    <w:rsid w:val="00E0618F"/>
    <w:rPr>
      <w:sz w:val="16"/>
      <w:szCs w:val="16"/>
    </w:rPr>
  </w:style>
  <w:style w:type="paragraph" w:styleId="CommentText">
    <w:name w:val="annotation text"/>
    <w:basedOn w:val="Normal"/>
    <w:link w:val="CommentTextChar"/>
    <w:uiPriority w:val="99"/>
    <w:semiHidden/>
    <w:unhideWhenUsed/>
    <w:rsid w:val="00E0618F"/>
    <w:pPr>
      <w:spacing w:line="240" w:lineRule="auto"/>
    </w:pPr>
    <w:rPr>
      <w:sz w:val="20"/>
      <w:szCs w:val="20"/>
    </w:rPr>
  </w:style>
  <w:style w:type="character" w:customStyle="1" w:styleId="CommentTextChar">
    <w:name w:val="Comment Text Char"/>
    <w:basedOn w:val="DefaultParagraphFont"/>
    <w:link w:val="CommentText"/>
    <w:uiPriority w:val="99"/>
    <w:semiHidden/>
    <w:rsid w:val="00E0618F"/>
    <w:rPr>
      <w:sz w:val="20"/>
      <w:szCs w:val="20"/>
    </w:rPr>
  </w:style>
  <w:style w:type="paragraph" w:styleId="CommentSubject">
    <w:name w:val="annotation subject"/>
    <w:basedOn w:val="CommentText"/>
    <w:next w:val="CommentText"/>
    <w:link w:val="CommentSubjectChar"/>
    <w:uiPriority w:val="99"/>
    <w:semiHidden/>
    <w:unhideWhenUsed/>
    <w:rsid w:val="00E0618F"/>
    <w:rPr>
      <w:b/>
      <w:bCs/>
    </w:rPr>
  </w:style>
  <w:style w:type="character" w:customStyle="1" w:styleId="CommentSubjectChar">
    <w:name w:val="Comment Subject Char"/>
    <w:basedOn w:val="CommentTextChar"/>
    <w:link w:val="CommentSubject"/>
    <w:uiPriority w:val="99"/>
    <w:semiHidden/>
    <w:rsid w:val="00E0618F"/>
    <w:rPr>
      <w:b/>
      <w:bCs/>
      <w:sz w:val="20"/>
      <w:szCs w:val="20"/>
    </w:rPr>
  </w:style>
  <w:style w:type="paragraph" w:styleId="BalloonText">
    <w:name w:val="Balloon Text"/>
    <w:basedOn w:val="Normal"/>
    <w:link w:val="BalloonTextChar"/>
    <w:uiPriority w:val="99"/>
    <w:semiHidden/>
    <w:unhideWhenUsed/>
    <w:rsid w:val="00E0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8F"/>
    <w:rPr>
      <w:rFonts w:ascii="Tahoma" w:hAnsi="Tahoma" w:cs="Tahoma"/>
      <w:sz w:val="16"/>
      <w:szCs w:val="16"/>
    </w:rPr>
  </w:style>
  <w:style w:type="paragraph" w:customStyle="1" w:styleId="p2">
    <w:name w:val="p2"/>
    <w:basedOn w:val="Normal"/>
    <w:rsid w:val="000F407F"/>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1">
    <w:name w:val="s1"/>
    <w:basedOn w:val="DefaultParagraphFont"/>
    <w:rsid w:val="000F407F"/>
  </w:style>
  <w:style w:type="paragraph" w:styleId="FootnoteText">
    <w:name w:val="footnote text"/>
    <w:basedOn w:val="Normal"/>
    <w:link w:val="FootnoteTextChar"/>
    <w:uiPriority w:val="99"/>
    <w:semiHidden/>
    <w:unhideWhenUsed/>
    <w:rsid w:val="00A53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BF4"/>
    <w:rPr>
      <w:sz w:val="20"/>
      <w:szCs w:val="20"/>
    </w:rPr>
  </w:style>
  <w:style w:type="character" w:styleId="FootnoteReference">
    <w:name w:val="footnote reference"/>
    <w:basedOn w:val="DefaultParagraphFont"/>
    <w:uiPriority w:val="99"/>
    <w:semiHidden/>
    <w:unhideWhenUsed/>
    <w:rsid w:val="00A53BF4"/>
    <w:rPr>
      <w:vertAlign w:val="superscript"/>
    </w:rPr>
  </w:style>
  <w:style w:type="paragraph" w:styleId="Revision">
    <w:name w:val="Revision"/>
    <w:hidden/>
    <w:uiPriority w:val="99"/>
    <w:semiHidden/>
    <w:rsid w:val="0036369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DC"/>
    <w:pPr>
      <w:ind w:left="720"/>
      <w:contextualSpacing/>
    </w:pPr>
  </w:style>
  <w:style w:type="character" w:styleId="CommentReference">
    <w:name w:val="annotation reference"/>
    <w:basedOn w:val="DefaultParagraphFont"/>
    <w:uiPriority w:val="99"/>
    <w:semiHidden/>
    <w:unhideWhenUsed/>
    <w:rsid w:val="00E0618F"/>
    <w:rPr>
      <w:sz w:val="16"/>
      <w:szCs w:val="16"/>
    </w:rPr>
  </w:style>
  <w:style w:type="paragraph" w:styleId="CommentText">
    <w:name w:val="annotation text"/>
    <w:basedOn w:val="Normal"/>
    <w:link w:val="CommentTextChar"/>
    <w:uiPriority w:val="99"/>
    <w:semiHidden/>
    <w:unhideWhenUsed/>
    <w:rsid w:val="00E0618F"/>
    <w:pPr>
      <w:spacing w:line="240" w:lineRule="auto"/>
    </w:pPr>
    <w:rPr>
      <w:sz w:val="20"/>
      <w:szCs w:val="20"/>
    </w:rPr>
  </w:style>
  <w:style w:type="character" w:customStyle="1" w:styleId="CommentTextChar">
    <w:name w:val="Comment Text Char"/>
    <w:basedOn w:val="DefaultParagraphFont"/>
    <w:link w:val="CommentText"/>
    <w:uiPriority w:val="99"/>
    <w:semiHidden/>
    <w:rsid w:val="00E0618F"/>
    <w:rPr>
      <w:sz w:val="20"/>
      <w:szCs w:val="20"/>
    </w:rPr>
  </w:style>
  <w:style w:type="paragraph" w:styleId="CommentSubject">
    <w:name w:val="annotation subject"/>
    <w:basedOn w:val="CommentText"/>
    <w:next w:val="CommentText"/>
    <w:link w:val="CommentSubjectChar"/>
    <w:uiPriority w:val="99"/>
    <w:semiHidden/>
    <w:unhideWhenUsed/>
    <w:rsid w:val="00E0618F"/>
    <w:rPr>
      <w:b/>
      <w:bCs/>
    </w:rPr>
  </w:style>
  <w:style w:type="character" w:customStyle="1" w:styleId="CommentSubjectChar">
    <w:name w:val="Comment Subject Char"/>
    <w:basedOn w:val="CommentTextChar"/>
    <w:link w:val="CommentSubject"/>
    <w:uiPriority w:val="99"/>
    <w:semiHidden/>
    <w:rsid w:val="00E0618F"/>
    <w:rPr>
      <w:b/>
      <w:bCs/>
      <w:sz w:val="20"/>
      <w:szCs w:val="20"/>
    </w:rPr>
  </w:style>
  <w:style w:type="paragraph" w:styleId="BalloonText">
    <w:name w:val="Balloon Text"/>
    <w:basedOn w:val="Normal"/>
    <w:link w:val="BalloonTextChar"/>
    <w:uiPriority w:val="99"/>
    <w:semiHidden/>
    <w:unhideWhenUsed/>
    <w:rsid w:val="00E0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8F"/>
    <w:rPr>
      <w:rFonts w:ascii="Tahoma" w:hAnsi="Tahoma" w:cs="Tahoma"/>
      <w:sz w:val="16"/>
      <w:szCs w:val="16"/>
    </w:rPr>
  </w:style>
  <w:style w:type="paragraph" w:customStyle="1" w:styleId="p2">
    <w:name w:val="p2"/>
    <w:basedOn w:val="Normal"/>
    <w:rsid w:val="000F407F"/>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1">
    <w:name w:val="s1"/>
    <w:basedOn w:val="DefaultParagraphFont"/>
    <w:rsid w:val="000F407F"/>
  </w:style>
  <w:style w:type="paragraph" w:styleId="FootnoteText">
    <w:name w:val="footnote text"/>
    <w:basedOn w:val="Normal"/>
    <w:link w:val="FootnoteTextChar"/>
    <w:uiPriority w:val="99"/>
    <w:semiHidden/>
    <w:unhideWhenUsed/>
    <w:rsid w:val="00A53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BF4"/>
    <w:rPr>
      <w:sz w:val="20"/>
      <w:szCs w:val="20"/>
    </w:rPr>
  </w:style>
  <w:style w:type="character" w:styleId="FootnoteReference">
    <w:name w:val="footnote reference"/>
    <w:basedOn w:val="DefaultParagraphFont"/>
    <w:uiPriority w:val="99"/>
    <w:semiHidden/>
    <w:unhideWhenUsed/>
    <w:rsid w:val="00A53BF4"/>
    <w:rPr>
      <w:vertAlign w:val="superscript"/>
    </w:rPr>
  </w:style>
  <w:style w:type="paragraph" w:styleId="Revision">
    <w:name w:val="Revision"/>
    <w:hidden/>
    <w:uiPriority w:val="99"/>
    <w:semiHidden/>
    <w:rsid w:val="00363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0367-DE59-914A-94EE-7606195A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4369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Kluijtmans, M.</dc:creator>
  <cp:lastModifiedBy>Toom, Auli-M H</cp:lastModifiedBy>
  <cp:revision>3</cp:revision>
  <dcterms:created xsi:type="dcterms:W3CDTF">2017-08-23T18:50:00Z</dcterms:created>
  <dcterms:modified xsi:type="dcterms:W3CDTF">2017-08-25T11:35:00Z</dcterms:modified>
</cp:coreProperties>
</file>